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ink/ink1.xml" ContentType="application/inkml+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EEE7E" w14:textId="77777777" w:rsidR="00F26B44" w:rsidRDefault="00F26B44" w:rsidP="00E8404E">
      <w:pPr>
        <w:pStyle w:val="BodyText1"/>
        <w:jc w:val="center"/>
        <w:rPr>
          <w:b/>
        </w:rPr>
      </w:pPr>
    </w:p>
    <w:p w14:paraId="6C5B4855" w14:textId="0101B58A" w:rsidR="00F26B44" w:rsidRPr="00D81760" w:rsidRDefault="00D81760" w:rsidP="00D81760">
      <w:pPr>
        <w:pStyle w:val="BodyText1"/>
        <w:ind w:left="6480" w:firstLine="720"/>
        <w:jc w:val="center"/>
      </w:pPr>
      <w:r w:rsidRPr="00D81760">
        <w:t>19</w:t>
      </w:r>
      <w:r w:rsidRPr="00D81760">
        <w:rPr>
          <w:vertAlign w:val="superscript"/>
        </w:rPr>
        <w:t>th</w:t>
      </w:r>
      <w:r w:rsidRPr="00D81760">
        <w:t xml:space="preserve"> August 2017</w:t>
      </w:r>
    </w:p>
    <w:p w14:paraId="49434420" w14:textId="77777777" w:rsidR="00F26B44" w:rsidRDefault="00F26B44" w:rsidP="00F26B44">
      <w:pPr>
        <w:pStyle w:val="BodyText1"/>
        <w:jc w:val="left"/>
      </w:pPr>
      <w:r>
        <w:t xml:space="preserve">Dear Sir/Madam,  </w:t>
      </w:r>
    </w:p>
    <w:p w14:paraId="7C1AE41A" w14:textId="2AC9C131" w:rsidR="00F26B44" w:rsidRDefault="00F26B44" w:rsidP="00F26B44">
      <w:pPr>
        <w:pStyle w:val="BodyText1"/>
        <w:jc w:val="left"/>
      </w:pPr>
      <w:r>
        <w:t xml:space="preserve">The Asia Internet Coalition (AIC) appreciates the opportunity to submit comments to the ITU's Council Working Group on International Internet-Related Public Policy Issues (CWG-Internet) open consultation on OTT services. </w:t>
      </w:r>
    </w:p>
    <w:p w14:paraId="5AFF984F" w14:textId="51340F65" w:rsidR="00F26B44" w:rsidRDefault="00F26B44" w:rsidP="00F26B44">
      <w:pPr>
        <w:pStyle w:val="BodyText1"/>
        <w:jc w:val="left"/>
      </w:pPr>
      <w:r>
        <w:t xml:space="preserve">The AIC is a policy voice of the digital industry in the Asia-Pacific comprising Apple, Expedia group, Facebook, Google, LINE, LinkedIn, PayPal, Rakuten, Twitter and Yahoo!. Our aim is to ensure users can enjoy the maximum economic, social and cultural benefits from the online world in the years ahead, and that they can do so safely, securely and confidently.  </w:t>
      </w:r>
    </w:p>
    <w:p w14:paraId="2AAFACDA" w14:textId="1B1326ED" w:rsidR="00F26B44" w:rsidRDefault="00F26B44" w:rsidP="00F26B44">
      <w:pPr>
        <w:pStyle w:val="BodyText1"/>
        <w:jc w:val="left"/>
      </w:pPr>
      <w:r>
        <w:t xml:space="preserve">The AIC shares the ITU’s recognition that </w:t>
      </w:r>
      <w:r w:rsidR="006C54C5">
        <w:t>i</w:t>
      </w:r>
      <w:r>
        <w:t xml:space="preserve">nformation and communication technologies (ICTs) form the backbone of today's digital economy and have enormous potential to improve people's lives in fundamental ways.  </w:t>
      </w:r>
    </w:p>
    <w:p w14:paraId="41855E63" w14:textId="1D15B894" w:rsidR="00F26B44" w:rsidRDefault="00F26B44" w:rsidP="00F26B44">
      <w:pPr>
        <w:pStyle w:val="BodyText1"/>
        <w:jc w:val="left"/>
      </w:pPr>
      <w:r>
        <w:t>In this regard, AIC respectfully submits in writing our comments on the open consultation on Over</w:t>
      </w:r>
      <w:r w:rsidR="006C54C5">
        <w:t>-</w:t>
      </w:r>
      <w:r>
        <w:t>The</w:t>
      </w:r>
      <w:r w:rsidR="006C54C5">
        <w:t>-</w:t>
      </w:r>
      <w:r w:rsidR="00206E52">
        <w:t>Top (OTT) applications</w:t>
      </w:r>
      <w:r>
        <w:t xml:space="preserve">. </w:t>
      </w:r>
    </w:p>
    <w:p w14:paraId="271497B3" w14:textId="6C660D6F" w:rsidR="00F26B44" w:rsidRDefault="00F26B44" w:rsidP="00F26B44">
      <w:pPr>
        <w:pStyle w:val="BodyText1"/>
        <w:jc w:val="left"/>
      </w:pPr>
      <w:r>
        <w:t>Yours sincerely</w:t>
      </w:r>
    </w:p>
    <w:p w14:paraId="66667119" w14:textId="21CF3175" w:rsidR="00F26B44" w:rsidRDefault="00F26B44" w:rsidP="00F26B44">
      <w:pPr>
        <w:pStyle w:val="BodyText1"/>
        <w:jc w:val="left"/>
      </w:pPr>
      <w:r>
        <w:t xml:space="preserve"> </w:t>
      </w:r>
    </w:p>
    <w:p w14:paraId="24A9169E" w14:textId="622897EB" w:rsidR="00202DBD" w:rsidRDefault="00202DBD" w:rsidP="00F26B44">
      <w:pPr>
        <w:pStyle w:val="BodyText1"/>
        <w:jc w:val="left"/>
      </w:pPr>
      <w:r>
        <w:rPr>
          <w:noProof/>
          <w:lang w:val="en-SG" w:eastAsia="en-SG"/>
        </w:rPr>
        <mc:AlternateContent>
          <mc:Choice Requires="wpi">
            <w:drawing>
              <wp:anchor distT="0" distB="0" distL="114300" distR="114300" simplePos="0" relativeHeight="251662336" behindDoc="0" locked="0" layoutInCell="1" allowOverlap="1" wp14:anchorId="5A2D3B0F" wp14:editId="3D26920A">
                <wp:simplePos x="0" y="0"/>
                <wp:positionH relativeFrom="column">
                  <wp:posOffset>115570</wp:posOffset>
                </wp:positionH>
                <wp:positionV relativeFrom="paragraph">
                  <wp:posOffset>-231140</wp:posOffset>
                </wp:positionV>
                <wp:extent cx="1841680" cy="762000"/>
                <wp:effectExtent l="38100" t="38100" r="25400" b="38100"/>
                <wp:wrapNone/>
                <wp:docPr id="5"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1841680" cy="762000"/>
                      </w14:xfrm>
                    </w14:contentPart>
                  </a:graphicData>
                </a:graphic>
              </wp:anchor>
            </w:drawing>
          </mc:Choice>
          <mc:Fallback>
            <w:pict>
              <v:shapetype w14:anchorId="6C8A6A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8.6pt;margin-top:-18.7pt;width:145.9pt;height:60.9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">
                <v:imagedata r:id="rId9" o:title=""/>
              </v:shape>
            </w:pict>
          </mc:Fallback>
        </mc:AlternateContent>
      </w:r>
    </w:p>
    <w:p w14:paraId="7513D5A1" w14:textId="77777777" w:rsidR="00202DBD" w:rsidRDefault="00202DBD" w:rsidP="00F26B44">
      <w:pPr>
        <w:pStyle w:val="BodyText1"/>
        <w:jc w:val="left"/>
      </w:pPr>
    </w:p>
    <w:p w14:paraId="4AA1731A" w14:textId="77777777" w:rsidR="00F26B44" w:rsidRDefault="00F26B44" w:rsidP="00F26B44">
      <w:pPr>
        <w:pStyle w:val="BodyText1"/>
        <w:jc w:val="left"/>
      </w:pPr>
      <w:r>
        <w:t xml:space="preserve">Jeff Paine </w:t>
      </w:r>
    </w:p>
    <w:p w14:paraId="030DA986" w14:textId="02EC9F21" w:rsidR="00F26B44" w:rsidRDefault="00F26B44" w:rsidP="00F26B44">
      <w:pPr>
        <w:pStyle w:val="BodyText1"/>
        <w:jc w:val="left"/>
      </w:pPr>
      <w:r>
        <w:t xml:space="preserve">Managing Director Asia Internet Coalition </w:t>
      </w:r>
    </w:p>
    <w:p w14:paraId="60213E13" w14:textId="77777777" w:rsidR="00F26B44" w:rsidRPr="00F26B44" w:rsidRDefault="00F26B44" w:rsidP="00F26B44">
      <w:pPr>
        <w:pStyle w:val="BodyText1"/>
        <w:jc w:val="left"/>
      </w:pPr>
    </w:p>
    <w:p w14:paraId="1B4A6811" w14:textId="77777777" w:rsidR="00F26B44" w:rsidRDefault="00F26B44" w:rsidP="00E8404E">
      <w:pPr>
        <w:pStyle w:val="BodyText1"/>
        <w:jc w:val="center"/>
        <w:rPr>
          <w:b/>
        </w:rPr>
      </w:pPr>
    </w:p>
    <w:p w14:paraId="6AEEA610" w14:textId="77777777" w:rsidR="00F26B44" w:rsidRDefault="00F26B44" w:rsidP="00E8404E">
      <w:pPr>
        <w:pStyle w:val="BodyText1"/>
        <w:jc w:val="center"/>
        <w:rPr>
          <w:b/>
        </w:rPr>
      </w:pPr>
    </w:p>
    <w:p w14:paraId="5B16CF88" w14:textId="77777777" w:rsidR="00F26B44" w:rsidRDefault="00F26B44" w:rsidP="00E8404E">
      <w:pPr>
        <w:pStyle w:val="BodyText1"/>
        <w:jc w:val="center"/>
        <w:rPr>
          <w:b/>
        </w:rPr>
      </w:pPr>
    </w:p>
    <w:p w14:paraId="5F99B645" w14:textId="77777777" w:rsidR="00F26B44" w:rsidRDefault="00F26B44" w:rsidP="00E8404E">
      <w:pPr>
        <w:pStyle w:val="BodyText1"/>
        <w:jc w:val="center"/>
        <w:rPr>
          <w:b/>
        </w:rPr>
      </w:pPr>
    </w:p>
    <w:p w14:paraId="5DA4ED0F" w14:textId="77777777" w:rsidR="00F26B44" w:rsidRDefault="00F26B44" w:rsidP="00E8404E">
      <w:pPr>
        <w:pStyle w:val="BodyText1"/>
        <w:jc w:val="center"/>
        <w:rPr>
          <w:b/>
        </w:rPr>
      </w:pPr>
    </w:p>
    <w:p w14:paraId="0AEFF117" w14:textId="77777777" w:rsidR="00F26B44" w:rsidRDefault="00F26B44" w:rsidP="00E8404E">
      <w:pPr>
        <w:pStyle w:val="BodyText1"/>
        <w:jc w:val="center"/>
        <w:rPr>
          <w:b/>
        </w:rPr>
      </w:pPr>
    </w:p>
    <w:p w14:paraId="6FD73DF5" w14:textId="77777777" w:rsidR="00F26B44" w:rsidRDefault="00F26B44" w:rsidP="00E8404E">
      <w:pPr>
        <w:pStyle w:val="BodyText1"/>
        <w:jc w:val="center"/>
        <w:rPr>
          <w:b/>
        </w:rPr>
      </w:pPr>
    </w:p>
    <w:p w14:paraId="5D3F515F" w14:textId="77777777" w:rsidR="00F26B44" w:rsidRDefault="00F26B44" w:rsidP="00E8404E">
      <w:pPr>
        <w:pStyle w:val="BodyText1"/>
        <w:jc w:val="center"/>
        <w:rPr>
          <w:b/>
        </w:rPr>
      </w:pPr>
    </w:p>
    <w:p w14:paraId="2D2CAE93" w14:textId="77777777" w:rsidR="00F26B44" w:rsidRDefault="00F26B44" w:rsidP="00E8404E">
      <w:pPr>
        <w:pStyle w:val="BodyText1"/>
        <w:jc w:val="center"/>
        <w:rPr>
          <w:b/>
        </w:rPr>
      </w:pPr>
    </w:p>
    <w:p w14:paraId="42BB148C" w14:textId="77777777" w:rsidR="00F26B44" w:rsidRDefault="00F26B44" w:rsidP="00E8404E">
      <w:pPr>
        <w:pStyle w:val="BodyText1"/>
        <w:jc w:val="center"/>
        <w:rPr>
          <w:b/>
        </w:rPr>
      </w:pPr>
    </w:p>
    <w:p w14:paraId="26AECB95" w14:textId="77777777" w:rsidR="00F26B44" w:rsidRDefault="00F26B44" w:rsidP="00E8404E">
      <w:pPr>
        <w:pStyle w:val="BodyText1"/>
        <w:jc w:val="center"/>
        <w:rPr>
          <w:b/>
        </w:rPr>
      </w:pPr>
    </w:p>
    <w:p w14:paraId="4779E9EC" w14:textId="77777777" w:rsidR="00D81760" w:rsidRDefault="00D81760" w:rsidP="00E8404E">
      <w:pPr>
        <w:pStyle w:val="BodyText1"/>
        <w:jc w:val="center"/>
        <w:rPr>
          <w:b/>
        </w:rPr>
      </w:pPr>
    </w:p>
    <w:p w14:paraId="4F0CE9B7" w14:textId="7395736C" w:rsidR="00E8404E" w:rsidRDefault="00E8404E" w:rsidP="00E8404E">
      <w:pPr>
        <w:pStyle w:val="BodyText1"/>
        <w:jc w:val="center"/>
        <w:rPr>
          <w:b/>
        </w:rPr>
      </w:pPr>
      <w:r>
        <w:rPr>
          <w:b/>
        </w:rPr>
        <w:t>ITU: ONLINE OPEN CONSULTATION (June – September 2017)</w:t>
      </w:r>
    </w:p>
    <w:p w14:paraId="3D6EE001" w14:textId="77777777" w:rsidR="00E8404E" w:rsidRDefault="00E8404E" w:rsidP="00E8404E">
      <w:pPr>
        <w:pStyle w:val="BodyText1"/>
        <w:jc w:val="center"/>
        <w:rPr>
          <w:b/>
        </w:rPr>
      </w:pPr>
      <w:r>
        <w:rPr>
          <w:b/>
        </w:rPr>
        <w:t>PUBLIC POLICY CONSIDERATIONS FOR OTTS</w:t>
      </w:r>
    </w:p>
    <w:p w14:paraId="164C64C5" w14:textId="77777777" w:rsidR="00E8404E" w:rsidRPr="00E8404E" w:rsidRDefault="00E8404E" w:rsidP="00E8404E">
      <w:pPr>
        <w:pStyle w:val="BodyText1"/>
        <w:rPr>
          <w:b/>
          <w:u w:val="single"/>
        </w:rPr>
      </w:pPr>
      <w:r w:rsidRPr="00E8404E">
        <w:rPr>
          <w:b/>
          <w:u w:val="single"/>
        </w:rPr>
        <w:t>Public Policy considerations for OTTs</w:t>
      </w:r>
    </w:p>
    <w:p w14:paraId="514D5D93" w14:textId="21582F61" w:rsidR="00F26B44" w:rsidRPr="00F26B44" w:rsidRDefault="00E8404E" w:rsidP="00F26B44">
      <w:pPr>
        <w:pStyle w:val="BodyText1"/>
        <w:rPr>
          <w:b/>
          <w:i/>
        </w:rPr>
      </w:pPr>
      <w:r>
        <w:rPr>
          <w:b/>
        </w:rPr>
        <w:t>"</w:t>
      </w:r>
      <w:r w:rsidRPr="00E8404E">
        <w:rPr>
          <w:b/>
          <w:i/>
        </w:rPr>
        <w:t xml:space="preserve">Considering the rapid development of information and communications technology (ICT) which led to the advent of Internet-based services commonly known as "over-the-top" (hereafter: OTT), all stakeholders are invited to submit their inputs on the following key aspects </w:t>
      </w:r>
      <w:r w:rsidR="00F26B44" w:rsidRPr="00F26B44">
        <w:rPr>
          <w:b/>
          <w:i/>
        </w:rPr>
        <w:t>from policy perspective:</w:t>
      </w:r>
    </w:p>
    <w:p w14:paraId="42F161ED" w14:textId="200BA5BF" w:rsidR="00E8404E" w:rsidRDefault="00F26B44" w:rsidP="00F26B44">
      <w:pPr>
        <w:pStyle w:val="BodyText1"/>
        <w:rPr>
          <w:b/>
        </w:rPr>
      </w:pPr>
      <w:r w:rsidRPr="00F26B44">
        <w:rPr>
          <w:b/>
          <w:i/>
        </w:rPr>
        <w:t>1.</w:t>
      </w:r>
      <w:r w:rsidRPr="00F26B44">
        <w:rPr>
          <w:b/>
          <w:i/>
        </w:rPr>
        <w:tab/>
        <w:t>What are the opportunities and implications associated with OTT?</w:t>
      </w:r>
    </w:p>
    <w:p w14:paraId="65342F89" w14:textId="744707A7" w:rsidR="00F26B44" w:rsidRDefault="00F26B44" w:rsidP="00F26B44">
      <w:pPr>
        <w:pStyle w:val="BodyText1"/>
      </w:pPr>
      <w:r>
        <w:t xml:space="preserve">What is OTT? Online content or services that operate separately from the network layer without the direct control or commercial distribution by network operators are often referred to as Over-The-Top (OTT) </w:t>
      </w:r>
      <w:r w:rsidR="00202DBD">
        <w:t>applications</w:t>
      </w:r>
      <w:r>
        <w:t xml:space="preserve">. This term, however, is vague and does not acknowledge the global infrastructure and engineering efforts in which </w:t>
      </w:r>
      <w:r w:rsidR="003278CD">
        <w:t xml:space="preserve">OTT </w:t>
      </w:r>
      <w:r>
        <w:t xml:space="preserve">providers invest, the results of which are valuable new benefits to consumers, and increasing demand for </w:t>
      </w:r>
      <w:r w:rsidR="00CA5462">
        <w:t xml:space="preserve">Internet Service Providers’ (ISP) </w:t>
      </w:r>
      <w:r>
        <w:t xml:space="preserve">data services.  </w:t>
      </w:r>
    </w:p>
    <w:p w14:paraId="78F74F19" w14:textId="131E9ECF" w:rsidR="00F26B44" w:rsidRDefault="00F26B44" w:rsidP="00F26B44">
      <w:pPr>
        <w:pStyle w:val="BodyText1"/>
      </w:pPr>
      <w:r>
        <w:t xml:space="preserve">Different definitions of OTT vary wildly, in some cases capturing only a subset of messaging services, and in other cases the entire content layer of the Internet. Different definitions </w:t>
      </w:r>
      <w:r w:rsidR="00CA5462">
        <w:t xml:space="preserve">can </w:t>
      </w:r>
      <w:r>
        <w:t xml:space="preserve">cover </w:t>
      </w:r>
      <w:r w:rsidR="00CA5462">
        <w:t xml:space="preserve">diverse applications including </w:t>
      </w:r>
      <w:r>
        <w:t xml:space="preserve">communication services, transportation services, entertainment services, educational services, business services, and health services and pet welfare services. This shows the inherent challenge of seeking to single out and regulate </w:t>
      </w:r>
      <w:r w:rsidR="00CA5462">
        <w:t>a supposed</w:t>
      </w:r>
      <w:r>
        <w:t xml:space="preserve"> “OTT sector”. </w:t>
      </w:r>
    </w:p>
    <w:p w14:paraId="2797E35A" w14:textId="77777777" w:rsidR="001A41EF" w:rsidRDefault="00714376" w:rsidP="00B716F6">
      <w:pPr>
        <w:pStyle w:val="BodyText1"/>
      </w:pPr>
      <w:r>
        <w:t>OTT</w:t>
      </w:r>
      <w:r w:rsidR="00F570FC">
        <w:t xml:space="preserve"> applications</w:t>
      </w:r>
      <w:r>
        <w:t xml:space="preserve"> </w:t>
      </w:r>
      <w:r w:rsidR="00CA5462">
        <w:t xml:space="preserve">can </w:t>
      </w:r>
      <w:r w:rsidR="00285FE7">
        <w:t xml:space="preserve">offer many different functionalities including: texting, sending pictures, sharing videos, </w:t>
      </w:r>
      <w:r w:rsidR="00285FE7" w:rsidRPr="00285FE7">
        <w:t>group voice or video chat,</w:t>
      </w:r>
      <w:r w:rsidR="00285FE7">
        <w:t xml:space="preserve"> </w:t>
      </w:r>
      <w:r w:rsidR="00A20E1D">
        <w:t>vo</w:t>
      </w:r>
      <w:r w:rsidR="00285FE7">
        <w:t>i</w:t>
      </w:r>
      <w:r w:rsidR="00A20E1D">
        <w:t>c</w:t>
      </w:r>
      <w:r w:rsidR="00285FE7">
        <w:t>emails, browser based use, location data, VoIP, stickers</w:t>
      </w:r>
      <w:r w:rsidR="00A20E1D">
        <w:t>/GIFs</w:t>
      </w:r>
      <w:r w:rsidR="00285FE7">
        <w:t xml:space="preserve">, timeline/channels/profiles, sending data files, </w:t>
      </w:r>
      <w:r w:rsidR="00A20E1D">
        <w:t xml:space="preserve">in-app gaming, </w:t>
      </w:r>
      <w:r w:rsidR="00285FE7">
        <w:t xml:space="preserve">encryption, money transfer, local commerce platform, mobile payment, </w:t>
      </w:r>
      <w:r w:rsidR="00A20E1D">
        <w:t xml:space="preserve">translation, </w:t>
      </w:r>
      <w:r w:rsidR="00285FE7">
        <w:t xml:space="preserve">dedicated partners – the list goes on.  </w:t>
      </w:r>
    </w:p>
    <w:p w14:paraId="70229C0D" w14:textId="53B9B30D" w:rsidR="00506E48" w:rsidRPr="00715CF8" w:rsidRDefault="00506E48" w:rsidP="00B716F6">
      <w:pPr>
        <w:pStyle w:val="BodyText1"/>
        <w:rPr>
          <w:b/>
          <w:i/>
        </w:rPr>
      </w:pPr>
      <w:r w:rsidRPr="00715CF8">
        <w:rPr>
          <w:b/>
          <w:i/>
        </w:rPr>
        <w:t>Regional Example</w:t>
      </w:r>
      <w:r>
        <w:rPr>
          <w:b/>
          <w:i/>
        </w:rPr>
        <w:t xml:space="preserve">s: Go-Jek, Grab Taxi &amp; </w:t>
      </w:r>
      <w:proofErr w:type="spellStart"/>
      <w:r>
        <w:rPr>
          <w:b/>
          <w:i/>
        </w:rPr>
        <w:t>i</w:t>
      </w:r>
      <w:r w:rsidR="00946BCF">
        <w:rPr>
          <w:b/>
          <w:i/>
        </w:rPr>
        <w:t>f</w:t>
      </w:r>
      <w:r>
        <w:rPr>
          <w:b/>
          <w:i/>
        </w:rPr>
        <w:t>lix</w:t>
      </w:r>
      <w:proofErr w:type="spellEnd"/>
    </w:p>
    <w:p w14:paraId="346FC28F" w14:textId="134A4C25" w:rsidR="001A41EF" w:rsidRDefault="001A41EF" w:rsidP="00B716F6">
      <w:pPr>
        <w:pStyle w:val="BodyText1"/>
      </w:pPr>
      <w:r>
        <w:t xml:space="preserve">The opportunities associated with OTTs are that there are very low barriers to entry, meaning that there are opportunities for all, in comparison to traditional business models.  One example of this in Asia is GO-JEK.   </w:t>
      </w:r>
      <w:r w:rsidRPr="001A41EF">
        <w:t xml:space="preserve">GO-JEK is an Indonesian hyperlocal transport, logistics and payments </w:t>
      </w:r>
      <w:proofErr w:type="spellStart"/>
      <w:r w:rsidRPr="001A41EF">
        <w:t>startup</w:t>
      </w:r>
      <w:proofErr w:type="spellEnd"/>
      <w:r w:rsidRPr="001A41EF">
        <w:t xml:space="preserve"> founded in 2010. It </w:t>
      </w:r>
      <w:r>
        <w:t xml:space="preserve">is </w:t>
      </w:r>
      <w:r w:rsidRPr="001A41EF">
        <w:t xml:space="preserve">the first </w:t>
      </w:r>
      <w:proofErr w:type="spellStart"/>
      <w:r w:rsidRPr="001A41EF">
        <w:t>startup</w:t>
      </w:r>
      <w:proofErr w:type="spellEnd"/>
      <w:r w:rsidRPr="001A41EF">
        <w:t xml:space="preserve"> of Indonesian origin to be classified as a transpor</w:t>
      </w:r>
      <w:r>
        <w:t xml:space="preserve">t system </w:t>
      </w:r>
      <w:r w:rsidRPr="001A41EF">
        <w:t xml:space="preserve">after closing a round of funding in August 2016. GO-JEK </w:t>
      </w:r>
      <w:r>
        <w:t xml:space="preserve">started in 2010 with </w:t>
      </w:r>
      <w:r w:rsidRPr="001A41EF">
        <w:t>a cal</w:t>
      </w:r>
      <w:r>
        <w:t xml:space="preserve">l centre and fleet of 20 riders, their </w:t>
      </w:r>
      <w:r w:rsidRPr="001A41EF">
        <w:t>fleet now exceeds 200,000 drivers and includes motorcycles, cars and trucks. People in 25 cities in Indonesia can now hail a ride via GO-JEK</w:t>
      </w:r>
      <w:r>
        <w:t xml:space="preserve">.  Another example from Asia is Grab Taxi, which was </w:t>
      </w:r>
      <w:r w:rsidRPr="001A41EF">
        <w:t xml:space="preserve">established in 2012 as </w:t>
      </w:r>
      <w:proofErr w:type="spellStart"/>
      <w:r w:rsidRPr="001A41EF">
        <w:t>MyTeksi</w:t>
      </w:r>
      <w:proofErr w:type="spellEnd"/>
      <w:r w:rsidRPr="001A41EF">
        <w:t xml:space="preserve"> in Malaysia</w:t>
      </w:r>
      <w:r w:rsidR="00506E48">
        <w:t>.</w:t>
      </w:r>
      <w:r w:rsidRPr="001A41EF">
        <w:t xml:space="preserve"> </w:t>
      </w:r>
      <w:proofErr w:type="spellStart"/>
      <w:r w:rsidRPr="001A41EF">
        <w:t>GrabTaxi</w:t>
      </w:r>
      <w:proofErr w:type="spellEnd"/>
      <w:r w:rsidRPr="001A41EF">
        <w:t xml:space="preserve"> is a Southeast Asian focused taxi-booking app</w:t>
      </w:r>
      <w:r>
        <w:t xml:space="preserve">, which now </w:t>
      </w:r>
      <w:r w:rsidRPr="001A41EF">
        <w:t>operates</w:t>
      </w:r>
      <w:r>
        <w:t xml:space="preserve"> in more than 50 cities across 7</w:t>
      </w:r>
      <w:r w:rsidRPr="001A41EF">
        <w:t xml:space="preserve"> other nations (Malaysia, Indonesia, Philippines, Vietnam, Thailand</w:t>
      </w:r>
      <w:r>
        <w:t>, Singapore</w:t>
      </w:r>
      <w:r w:rsidRPr="001A41EF">
        <w:t xml:space="preserve"> and Myanmar) in Southeast Asia.</w:t>
      </w:r>
      <w:r>
        <w:t xml:space="preserve"> The success of OTT </w:t>
      </w:r>
      <w:proofErr w:type="spellStart"/>
      <w:r>
        <w:t>startups</w:t>
      </w:r>
      <w:proofErr w:type="spellEnd"/>
      <w:r>
        <w:t xml:space="preserve"> in Asia is not limited to transport.  </w:t>
      </w:r>
      <w:proofErr w:type="spellStart"/>
      <w:r w:rsidR="007B3240">
        <w:t>iflix</w:t>
      </w:r>
      <w:proofErr w:type="spellEnd"/>
      <w:r w:rsidR="007B3240">
        <w:t xml:space="preserve"> is a subscription video-on-demand service focused on emerging markets. Its regional headquarters for Asia is based in Kuala Lumpur, Malaysia. The site serves as a digital hosting and distribution platform for Western and Asian dramas obtained through partnerships with over 150 studios and content distributors globally including Metro-Goldwyn-Mayer, Disney, Warner Bros, Paramount, NBC Universal, Fox, CBS, BBC, Sony Pictures and Discovery. </w:t>
      </w:r>
      <w:proofErr w:type="spellStart"/>
      <w:r w:rsidR="007B3240">
        <w:t>iflix</w:t>
      </w:r>
      <w:proofErr w:type="spellEnd"/>
      <w:r w:rsidR="007B3240">
        <w:t xml:space="preserve"> is currently available in Malaysia, the Philippines, Thailand, Indonesia, Sri Lanka, Brunei, the Maldives, Pakistan, Vietnam, Myanmar, Saudi Arabia, Jordan, Iraq, Kuwait, Bahrain, Lebanon, Egypt, Cambodia, and Sudan.</w:t>
      </w:r>
      <w:r w:rsidR="00946BCF">
        <w:t xml:space="preserve">  </w:t>
      </w:r>
      <w:r w:rsidR="007B3240">
        <w:t xml:space="preserve"> As of May 2017, </w:t>
      </w:r>
      <w:proofErr w:type="spellStart"/>
      <w:r w:rsidR="007B3240">
        <w:t>iflix</w:t>
      </w:r>
      <w:proofErr w:type="spellEnd"/>
      <w:r w:rsidR="007B3240">
        <w:t xml:space="preserve"> has more than </w:t>
      </w:r>
      <w:r w:rsidR="00946BCF">
        <w:t>five</w:t>
      </w:r>
      <w:r w:rsidR="007B3240">
        <w:t xml:space="preserve"> million subscribers </w:t>
      </w:r>
      <w:r w:rsidR="00946BCF">
        <w:t>using</w:t>
      </w:r>
      <w:r w:rsidR="007B3240">
        <w:t xml:space="preserve"> its service. </w:t>
      </w:r>
      <w:r w:rsidR="007B3240" w:rsidRPr="007B3240">
        <w:t xml:space="preserve">In April 2015, </w:t>
      </w:r>
      <w:proofErr w:type="spellStart"/>
      <w:r w:rsidR="007B3240" w:rsidRPr="007B3240">
        <w:t>iflix</w:t>
      </w:r>
      <w:proofErr w:type="spellEnd"/>
      <w:r w:rsidR="007B3240" w:rsidRPr="007B3240">
        <w:t xml:space="preserve"> announced the completion of a $30 million round of funding, led by leading international investment firm, </w:t>
      </w:r>
      <w:proofErr w:type="spellStart"/>
      <w:r w:rsidR="007B3240" w:rsidRPr="007B3240">
        <w:t>Catcha</w:t>
      </w:r>
      <w:proofErr w:type="spellEnd"/>
      <w:r w:rsidR="007B3240" w:rsidRPr="007B3240">
        <w:t xml:space="preserve"> Group and Philippine Long Distance Telephone Company (PLDT), the largest integrated telecommunications</w:t>
      </w:r>
      <w:r w:rsidR="007B3240">
        <w:t xml:space="preserve"> company in the Philippines. </w:t>
      </w:r>
      <w:r w:rsidR="007B3240" w:rsidRPr="007B3240">
        <w:t>The company launched its service in Malaysia and t</w:t>
      </w:r>
      <w:r w:rsidR="007B3240">
        <w:t xml:space="preserve">he Philippines one month later. </w:t>
      </w:r>
    </w:p>
    <w:p w14:paraId="2368C9BF" w14:textId="1E1C081B" w:rsidR="00285FE7" w:rsidRDefault="00B716F6" w:rsidP="00B716F6">
      <w:pPr>
        <w:pStyle w:val="BodyText1"/>
      </w:pPr>
      <w:r w:rsidRPr="00B716F6">
        <w:lastRenderedPageBreak/>
        <w:t xml:space="preserve">The Internet has been the most powerful platform for innovation in human history. The rise of online services and OTTs has been a fundamentally positive development for a wide variety of stakeholders globally. </w:t>
      </w:r>
      <w:r w:rsidR="00CA5462">
        <w:t>Some of t</w:t>
      </w:r>
      <w:r w:rsidRPr="00B716F6">
        <w:t>he benefits of OTTs and the opportunities they are associated with are listed below.</w:t>
      </w:r>
    </w:p>
    <w:p w14:paraId="7223D384" w14:textId="668196F3" w:rsidR="00BE6861" w:rsidRPr="00BE6861" w:rsidRDefault="00BE6861" w:rsidP="00B716F6">
      <w:pPr>
        <w:pStyle w:val="BodyText1"/>
        <w:rPr>
          <w:b/>
        </w:rPr>
      </w:pPr>
      <w:r>
        <w:rPr>
          <w:b/>
        </w:rPr>
        <w:t>Benefits to Consumers</w:t>
      </w:r>
    </w:p>
    <w:p w14:paraId="4FE30C7A" w14:textId="393245A9" w:rsidR="00B716F6" w:rsidRDefault="00B716F6" w:rsidP="00B716F6">
      <w:pPr>
        <w:pStyle w:val="BodyText1"/>
        <w:numPr>
          <w:ilvl w:val="0"/>
          <w:numId w:val="40"/>
        </w:numPr>
      </w:pPr>
      <w:r>
        <w:t>OTTs have helped people around the world connect, trade, entertain and learn from each other at an unprecedented rate. Over the past decade, the cost of smartphones has dramatically reduced, while telecoms providers have extended the reach and quality of mobile data, all at increasingly affordable prices for consumers. This has contributed to the growth of consumer demand for data driven services like communications applications and video platforms. The freedom to consume and create through a diverse set of different channels supports more content in more languages, accessible to more people. The Internet allows people to not just consume, but to create and participate in the digitized economy with low barriers to entry, connecting with each other and letting the world’s best content and creativity flourish, wherever it came from.  Openness and flexibility – including the freedom to develop and consume new services  is a key aspect of this.  The Internet provides access to a wide array of platforms and distribution channels – ranging from traditional media groups distributing professional content online in new forms, to innovative content delivery services, to free forums where amateurs can share their independent creations.  This diversity allows citizens to create and participate in the digital world at low cost.  And when barriers to participation are low, the widest group of people possible are able to contribute to the development of content that is local, relevant, and accessible. Demand for Internet content can create its own supply</w:t>
      </w:r>
      <w:r w:rsidR="00DA7BB8">
        <w:t xml:space="preserve"> </w:t>
      </w:r>
      <w:r>
        <w:t xml:space="preserve">when regulatory frameworks support continued investment and innovation rather than create costly burdens.  </w:t>
      </w:r>
      <w:r w:rsidR="00DA7BB8">
        <w:t>When</w:t>
      </w:r>
      <w:r>
        <w:t xml:space="preserve"> more content is available </w:t>
      </w:r>
      <w:r w:rsidR="00DA7BB8">
        <w:t>it</w:t>
      </w:r>
      <w:r>
        <w:t xml:space="preserve"> demonstrates the value of connectivity for everyone, demand for that content </w:t>
      </w:r>
      <w:r w:rsidR="00CA5462">
        <w:t xml:space="preserve">and ISPs’ delivery services </w:t>
      </w:r>
      <w:r>
        <w:t>increase. This creates a virtuous circle that drives development in the use of the Internet.</w:t>
      </w:r>
    </w:p>
    <w:p w14:paraId="6EA5E177" w14:textId="10BE421B" w:rsidR="00B716F6" w:rsidRDefault="00B716F6" w:rsidP="00B716F6">
      <w:pPr>
        <w:pStyle w:val="BodyText1"/>
        <w:numPr>
          <w:ilvl w:val="0"/>
          <w:numId w:val="40"/>
        </w:numPr>
      </w:pPr>
      <w:r w:rsidRPr="00B716F6">
        <w:t>OTTs are drivers of global economic growth Many studies have shown that usage of the Internet and digitization of the economy drive economic growth. For example, a CCIA study recently found that ‘rich interaction applications’ (RIAs)</w:t>
      </w:r>
      <w:r>
        <w:rPr>
          <w:rStyle w:val="FootnoteReference"/>
        </w:rPr>
        <w:footnoteReference w:id="1"/>
      </w:r>
      <w:r w:rsidRPr="00B716F6">
        <w:t xml:space="preserve"> generate a significant component of the socioeconomic impact of digitization and utilization of the Internet itself. Each 10% increase in usage of these apps has added on average US$5.6 trillion in global GDP (0.33% of GDP).</w:t>
      </w:r>
      <w:r>
        <w:rPr>
          <w:rStyle w:val="FootnoteReference"/>
        </w:rPr>
        <w:footnoteReference w:id="2"/>
      </w:r>
    </w:p>
    <w:p w14:paraId="3E604FEE" w14:textId="36836DAF" w:rsidR="00333584" w:rsidRDefault="00CB4A3C">
      <w:pPr>
        <w:pStyle w:val="BodyText1"/>
        <w:numPr>
          <w:ilvl w:val="0"/>
          <w:numId w:val="40"/>
        </w:numPr>
      </w:pPr>
      <w:r>
        <w:t>OTT</w:t>
      </w:r>
      <w:r w:rsidR="00F570FC">
        <w:t xml:space="preserve"> applications</w:t>
      </w:r>
      <w:r>
        <w:t xml:space="preserve"> </w:t>
      </w:r>
      <w:r w:rsidR="00DE574E">
        <w:t>confer a wealth of opportunities. They contribute greatly to the social and economic development of user</w:t>
      </w:r>
      <w:r w:rsidR="00835CC2">
        <w:t xml:space="preserve">s (whether government, businesses, or </w:t>
      </w:r>
      <w:r w:rsidR="00F570FC">
        <w:t>citizen</w:t>
      </w:r>
      <w:r w:rsidR="00D651A9">
        <w:t>s</w:t>
      </w:r>
      <w:r w:rsidR="00F570FC">
        <w:t>/</w:t>
      </w:r>
      <w:r w:rsidR="00835CC2">
        <w:t>consumers) and the countries and economies</w:t>
      </w:r>
      <w:r w:rsidR="00DE574E">
        <w:t xml:space="preserve"> in which they are used.  </w:t>
      </w:r>
      <w:r w:rsidR="00835CC2">
        <w:t>There are numerous use</w:t>
      </w:r>
      <w:r w:rsidR="00333584">
        <w:t xml:space="preserve"> cases and examples that support this</w:t>
      </w:r>
      <w:r w:rsidR="00333584">
        <w:rPr>
          <w:rStyle w:val="FootnoteReference"/>
        </w:rPr>
        <w:footnoteReference w:id="3"/>
      </w:r>
      <w:r w:rsidR="00333584">
        <w:t xml:space="preserve">. These cases show that: </w:t>
      </w:r>
    </w:p>
    <w:p w14:paraId="0FE7258C" w14:textId="46DF5FFA" w:rsidR="00333584" w:rsidRDefault="00CB4A3C" w:rsidP="00333584">
      <w:pPr>
        <w:pStyle w:val="BodyText1"/>
        <w:numPr>
          <w:ilvl w:val="1"/>
          <w:numId w:val="40"/>
        </w:numPr>
      </w:pPr>
      <w:r>
        <w:t>OTT</w:t>
      </w:r>
      <w:r w:rsidR="00F570FC">
        <w:t xml:space="preserve"> applications</w:t>
      </w:r>
      <w:r w:rsidR="00333584">
        <w:t xml:space="preserve"> generate a significant component of the socioeconomic impact of digit</w:t>
      </w:r>
      <w:r w:rsidR="00733BFF">
        <w:t>i</w:t>
      </w:r>
      <w:r w:rsidR="00333584">
        <w:t>zation and utilization of the internet, growing GDP far in excess of basic telecoms services.</w:t>
      </w:r>
      <w:r w:rsidR="00835CC2">
        <w:t xml:space="preserve"> This benefits stakeholders at all levels in the supply chain, from the </w:t>
      </w:r>
      <w:r w:rsidR="00CA5462">
        <w:t xml:space="preserve">ISP </w:t>
      </w:r>
      <w:r w:rsidR="00835CC2">
        <w:t>providers</w:t>
      </w:r>
      <w:r w:rsidR="00733BFF">
        <w:t xml:space="preserve"> who are able to invest in improved services and infrastructure</w:t>
      </w:r>
      <w:r w:rsidR="00835CC2">
        <w:t xml:space="preserve">, to </w:t>
      </w:r>
      <w:r w:rsidR="00733BFF">
        <w:t xml:space="preserve">end-users such as governments and businesses that use </w:t>
      </w:r>
      <w:r w:rsidR="00F570FC">
        <w:t xml:space="preserve">these rich applications </w:t>
      </w:r>
      <w:r w:rsidR="00733BFF">
        <w:t xml:space="preserve">and the underlying network connectivity needed for these services, and ultimately end-user consumers. </w:t>
      </w:r>
      <w:r w:rsidR="00835CC2">
        <w:t xml:space="preserve"> </w:t>
      </w:r>
      <w:r w:rsidR="00AB353F">
        <w:t xml:space="preserve">Further information on the symbiotic relationship between </w:t>
      </w:r>
      <w:r>
        <w:t xml:space="preserve">OTTs </w:t>
      </w:r>
      <w:r w:rsidR="00AB353F">
        <w:t>and traditional telco providers is provided in response to Q 4 below.</w:t>
      </w:r>
    </w:p>
    <w:p w14:paraId="3198154C" w14:textId="7A7811E1" w:rsidR="00333584" w:rsidRDefault="00CB4A3C" w:rsidP="00333584">
      <w:pPr>
        <w:pStyle w:val="BodyText1"/>
        <w:numPr>
          <w:ilvl w:val="1"/>
          <w:numId w:val="40"/>
        </w:numPr>
      </w:pPr>
      <w:r>
        <w:t>OTT</w:t>
      </w:r>
      <w:r w:rsidR="00F570FC">
        <w:t xml:space="preserve"> applications</w:t>
      </w:r>
      <w:r>
        <w:t xml:space="preserve"> </w:t>
      </w:r>
      <w:r w:rsidR="00333584">
        <w:t>are able to generate new local value creation</w:t>
      </w:r>
      <w:r w:rsidR="00713567">
        <w:t>.  F</w:t>
      </w:r>
      <w:r w:rsidR="00CE79C9">
        <w:t xml:space="preserve">or example, advertising of local merchant services, </w:t>
      </w:r>
      <w:r w:rsidR="007972F1">
        <w:t xml:space="preserve">and </w:t>
      </w:r>
      <w:r w:rsidR="00CE79C9">
        <w:t>integration of payment and money</w:t>
      </w:r>
      <w:r w:rsidR="00835CC2">
        <w:t xml:space="preserve"> transfer functions that enable</w:t>
      </w:r>
      <w:r w:rsidR="00CE79C9">
        <w:t xml:space="preserve"> remittances from overseas workers back to their </w:t>
      </w:r>
      <w:r w:rsidR="00AB2CC5">
        <w:lastRenderedPageBreak/>
        <w:t>local</w:t>
      </w:r>
      <w:r w:rsidR="00CE79C9">
        <w:t xml:space="preserve"> communities</w:t>
      </w:r>
      <w:r w:rsidR="00835CC2">
        <w:t>, which in turn enables</w:t>
      </w:r>
      <w:r w:rsidR="00AB2CC5">
        <w:t xml:space="preserve"> wealth </w:t>
      </w:r>
      <w:r w:rsidR="00AB353F">
        <w:t xml:space="preserve">distribution and additional wealth </w:t>
      </w:r>
      <w:r w:rsidR="00AB2CC5">
        <w:t>creation in these communities</w:t>
      </w:r>
      <w:r w:rsidR="00CE79C9">
        <w:t>.</w:t>
      </w:r>
      <w:r w:rsidR="00AB2CC5">
        <w:t xml:space="preserve"> </w:t>
      </w:r>
    </w:p>
    <w:p w14:paraId="3275C93F" w14:textId="4529BDE3" w:rsidR="00CE79C9" w:rsidRDefault="00CB4A3C" w:rsidP="00333584">
      <w:pPr>
        <w:pStyle w:val="BodyText1"/>
        <w:numPr>
          <w:ilvl w:val="1"/>
          <w:numId w:val="40"/>
        </w:numPr>
      </w:pPr>
      <w:r>
        <w:t>OTT</w:t>
      </w:r>
      <w:r w:rsidR="005B54D9">
        <w:t xml:space="preserve"> applications</w:t>
      </w:r>
      <w:r w:rsidR="00CE79C9">
        <w:t xml:space="preserve"> are able to generate significant social benefits particularly in </w:t>
      </w:r>
      <w:r w:rsidR="00AB2CC5">
        <w:t xml:space="preserve">bridging communication gaps, and </w:t>
      </w:r>
      <w:r w:rsidR="00CE79C9">
        <w:t>suppo</w:t>
      </w:r>
      <w:r w:rsidR="00AB353F">
        <w:t>rting users with disabilities -</w:t>
      </w:r>
      <w:r w:rsidR="00CE79C9">
        <w:t xml:space="preserve"> standard </w:t>
      </w:r>
      <w:r w:rsidR="005B54D9">
        <w:t>Internet application</w:t>
      </w:r>
      <w:r w:rsidR="00EC4CD9">
        <w:t xml:space="preserve"> </w:t>
      </w:r>
      <w:r w:rsidR="00CE79C9">
        <w:t>functionality</w:t>
      </w:r>
      <w:r w:rsidR="005B54D9">
        <w:t>,</w:t>
      </w:r>
      <w:r w:rsidR="00AB2CC5">
        <w:t xml:space="preserve"> such as touchscreens or speech recognition</w:t>
      </w:r>
      <w:r w:rsidR="005B54D9">
        <w:t>,</w:t>
      </w:r>
      <w:r w:rsidR="00CE79C9">
        <w:t xml:space="preserve"> tends to be of superior quality to man</w:t>
      </w:r>
      <w:r w:rsidR="00835CC2">
        <w:t>y specialized applications</w:t>
      </w:r>
      <w:r w:rsidR="00AB353F">
        <w:t>, and is more readily accessible by users who do not have to seek out and pay for specialized applications or specialized devices (e.g., as they can use their mobile handset)</w:t>
      </w:r>
      <w:r w:rsidR="00835CC2">
        <w:t xml:space="preserve">. </w:t>
      </w:r>
      <w:r w:rsidR="00A44A28">
        <w:t>OTT</w:t>
      </w:r>
      <w:r w:rsidR="005B54D9">
        <w:t xml:space="preserve"> applications</w:t>
      </w:r>
      <w:r w:rsidR="00CE79C9">
        <w:t xml:space="preserve"> </w:t>
      </w:r>
      <w:r w:rsidR="00835CC2">
        <w:t xml:space="preserve">also </w:t>
      </w:r>
      <w:r w:rsidR="00CE79C9">
        <w:t>have important roles to play in aiding disaster relief</w:t>
      </w:r>
      <w:r w:rsidR="007972F1">
        <w:t>,</w:t>
      </w:r>
      <w:r w:rsidR="00CE79C9">
        <w:t xml:space="preserve"> e.g., assisting to connect loved ones separated during a disaster, providing life-saving information back to communities affected by a disaster</w:t>
      </w:r>
      <w:r w:rsidR="007972F1">
        <w:t>,</w:t>
      </w:r>
      <w:r w:rsidR="00CE79C9">
        <w:t xml:space="preserve"> etc.</w:t>
      </w:r>
    </w:p>
    <w:p w14:paraId="6BB6380C" w14:textId="6D6687C0" w:rsidR="00285FE7" w:rsidRDefault="00CB4A3C" w:rsidP="00333584">
      <w:pPr>
        <w:pStyle w:val="BodyText1"/>
        <w:numPr>
          <w:ilvl w:val="1"/>
          <w:numId w:val="40"/>
        </w:numPr>
      </w:pPr>
      <w:r>
        <w:t>OTT</w:t>
      </w:r>
      <w:r w:rsidR="005B54D9">
        <w:t xml:space="preserve"> applications</w:t>
      </w:r>
      <w:r w:rsidR="00CE79C9">
        <w:t xml:space="preserve"> can help provide crucial health and education </w:t>
      </w:r>
      <w:r w:rsidR="00835CC2">
        <w:t>information</w:t>
      </w:r>
      <w:r w:rsidR="007972F1">
        <w:t>,</w:t>
      </w:r>
      <w:r w:rsidR="00835CC2">
        <w:t xml:space="preserve"> </w:t>
      </w:r>
      <w:r w:rsidR="00CE79C9">
        <w:t xml:space="preserve">e.g., </w:t>
      </w:r>
      <w:r w:rsidR="00AB2CC5">
        <w:t xml:space="preserve">providing important medical information, </w:t>
      </w:r>
      <w:r w:rsidR="00CE79C9">
        <w:t>helping train health workers in remote locations, helping education projects</w:t>
      </w:r>
      <w:r w:rsidR="00285FE7">
        <w:t xml:space="preserve"> and learning groups</w:t>
      </w:r>
      <w:r w:rsidR="00CE79C9">
        <w:t xml:space="preserve"> </w:t>
      </w:r>
      <w:r w:rsidR="00285FE7">
        <w:t>by</w:t>
      </w:r>
      <w:r w:rsidR="00CE79C9">
        <w:t xml:space="preserve"> establishing direct </w:t>
      </w:r>
      <w:r w:rsidR="00285FE7">
        <w:t>line</w:t>
      </w:r>
      <w:r w:rsidR="00835CC2">
        <w:t>s</w:t>
      </w:r>
      <w:r w:rsidR="00285FE7">
        <w:t xml:space="preserve"> of communication</w:t>
      </w:r>
      <w:r w:rsidR="00CE79C9">
        <w:t xml:space="preserve"> between teachers and student</w:t>
      </w:r>
      <w:r w:rsidR="00285FE7">
        <w:t xml:space="preserve"> groups to </w:t>
      </w:r>
      <w:r w:rsidR="00AB2CC5">
        <w:t xml:space="preserve">distribute learning materials and </w:t>
      </w:r>
      <w:r w:rsidR="00285FE7">
        <w:t>supplement traditional learning methods.</w:t>
      </w:r>
    </w:p>
    <w:p w14:paraId="48910D1C" w14:textId="44668311" w:rsidR="00CE79C9" w:rsidRDefault="00CB4A3C" w:rsidP="009875CD">
      <w:pPr>
        <w:pStyle w:val="BodyText1"/>
        <w:numPr>
          <w:ilvl w:val="1"/>
          <w:numId w:val="40"/>
        </w:numPr>
      </w:pPr>
      <w:r>
        <w:t>OTT</w:t>
      </w:r>
      <w:r w:rsidR="005B54D9">
        <w:t xml:space="preserve"> applications</w:t>
      </w:r>
      <w:r w:rsidR="00285FE7">
        <w:t xml:space="preserve"> help improve enterprise and government efficiency </w:t>
      </w:r>
      <w:r w:rsidR="00760A5A">
        <w:t>(</w:t>
      </w:r>
      <w:r w:rsidR="00285FE7">
        <w:t>e.g., through eGovernment initiatives</w:t>
      </w:r>
      <w:r w:rsidR="00713567">
        <w:t>)</w:t>
      </w:r>
      <w:r w:rsidR="00285FE7">
        <w:t xml:space="preserve">. </w:t>
      </w:r>
      <w:r w:rsidR="00CE79C9">
        <w:t xml:space="preserve">  </w:t>
      </w:r>
      <w:r w:rsidR="00835CC2">
        <w:t xml:space="preserve">For example, </w:t>
      </w:r>
      <w:r w:rsidR="005B54D9">
        <w:t>OTT applications</w:t>
      </w:r>
      <w:r>
        <w:t xml:space="preserve"> </w:t>
      </w:r>
      <w:r w:rsidR="00835CC2">
        <w:t>offer</w:t>
      </w:r>
      <w:r w:rsidR="009875CD" w:rsidRPr="009875CD">
        <w:t xml:space="preserve"> governments better and more efficient ways in which to communicate with citizens through eGovernment initiatives </w:t>
      </w:r>
      <w:r w:rsidR="00835CC2">
        <w:t xml:space="preserve">which </w:t>
      </w:r>
      <w:r w:rsidR="009875CD" w:rsidRPr="009875CD">
        <w:t>not only benefit central government</w:t>
      </w:r>
      <w:r w:rsidR="007972F1">
        <w:t>s</w:t>
      </w:r>
      <w:r w:rsidR="009875CD" w:rsidRPr="009875CD">
        <w:t xml:space="preserve"> in economic terms e.g., saving valuable time and resources that would otherwise have to be provided by staff/civil servants, but also offer social benefits to bot</w:t>
      </w:r>
      <w:r w:rsidR="00835CC2">
        <w:t>h government and citizens. E</w:t>
      </w:r>
      <w:r w:rsidR="009875CD" w:rsidRPr="009875CD">
        <w:t xml:space="preserve">nsuring closer </w:t>
      </w:r>
      <w:r w:rsidR="00B87CE7">
        <w:t>and</w:t>
      </w:r>
      <w:r w:rsidR="009875CD" w:rsidRPr="009875CD">
        <w:t xml:space="preserve"> more direct links between the citizen and delivery of government services leads to a more engaged citizenship, </w:t>
      </w:r>
      <w:r w:rsidR="00835CC2">
        <w:t>who are</w:t>
      </w:r>
      <w:r w:rsidR="009875CD" w:rsidRPr="009875CD">
        <w:t xml:space="preserve"> able to better participate in society.    </w:t>
      </w:r>
      <w:r w:rsidR="00CE79C9">
        <w:t xml:space="preserve">  </w:t>
      </w:r>
    </w:p>
    <w:p w14:paraId="7FB0C29C" w14:textId="5B0F5302" w:rsidR="00733BFF" w:rsidRDefault="00A20E1D" w:rsidP="00AB2CC5">
      <w:pPr>
        <w:pStyle w:val="BodyText1"/>
        <w:numPr>
          <w:ilvl w:val="0"/>
          <w:numId w:val="40"/>
        </w:numPr>
      </w:pPr>
      <w:r>
        <w:t xml:space="preserve">Consumers </w:t>
      </w:r>
      <w:r w:rsidR="00733BFF">
        <w:t xml:space="preserve">and end-users </w:t>
      </w:r>
      <w:r w:rsidR="00820D26">
        <w:t>are a critical stakeholder group</w:t>
      </w:r>
      <w:r w:rsidR="00733BFF">
        <w:t xml:space="preserve">, often overshadowed by a focus on </w:t>
      </w:r>
      <w:r w:rsidR="00CA5462">
        <w:t>industry</w:t>
      </w:r>
      <w:r w:rsidR="00733BFF">
        <w:t xml:space="preserve"> interests. Consumers</w:t>
      </w:r>
      <w:r w:rsidR="00820D26">
        <w:t xml:space="preserve"> </w:t>
      </w:r>
      <w:r>
        <w:t xml:space="preserve">see real value in the diversity and richness of the functionalities </w:t>
      </w:r>
      <w:r w:rsidR="00160049">
        <w:t>OTT</w:t>
      </w:r>
      <w:r w:rsidR="005B54D9">
        <w:t xml:space="preserve"> applications</w:t>
      </w:r>
      <w:r w:rsidR="00160049">
        <w:t xml:space="preserve"> </w:t>
      </w:r>
      <w:r>
        <w:t>offer, which go beyond traditional voice calls and SMS text messaging</w:t>
      </w:r>
      <w:r w:rsidR="00B05F30">
        <w:t xml:space="preserve">. Increased consumer use of </w:t>
      </w:r>
      <w:r w:rsidR="00160049">
        <w:t>OTT</w:t>
      </w:r>
      <w:r w:rsidR="00004A80">
        <w:t xml:space="preserve"> applications</w:t>
      </w:r>
      <w:r w:rsidR="00160049">
        <w:t xml:space="preserve"> </w:t>
      </w:r>
      <w:r w:rsidR="00B05F30">
        <w:t>should be encouraged as a way to incentivise</w:t>
      </w:r>
      <w:r w:rsidR="00733BFF">
        <w:t xml:space="preserve"> greater competition and investment </w:t>
      </w:r>
      <w:r w:rsidR="00B05F30">
        <w:t>by traditional telco providers and other players in the wider</w:t>
      </w:r>
      <w:r w:rsidR="00733BFF">
        <w:t xml:space="preserve"> communications ecosystem</w:t>
      </w:r>
      <w:r>
        <w:t>.</w:t>
      </w:r>
      <w:r w:rsidR="00820D26">
        <w:t xml:space="preserve"> </w:t>
      </w:r>
    </w:p>
    <w:p w14:paraId="3B26D9E7" w14:textId="4E3C8BFC" w:rsidR="00130E67" w:rsidRDefault="00733BFF" w:rsidP="00AB2CC5">
      <w:pPr>
        <w:pStyle w:val="BodyText1"/>
        <w:numPr>
          <w:ilvl w:val="0"/>
          <w:numId w:val="40"/>
        </w:numPr>
      </w:pPr>
      <w:r>
        <w:t xml:space="preserve">Users see real benefit in being </w:t>
      </w:r>
      <w:r w:rsidR="00820D26">
        <w:t xml:space="preserve">able to switch seamlessly between different </w:t>
      </w:r>
      <w:r w:rsidR="00004A80">
        <w:t>applications</w:t>
      </w:r>
      <w:r w:rsidR="00CB4A3C">
        <w:t xml:space="preserve"> </w:t>
      </w:r>
      <w:r w:rsidR="00820D26">
        <w:t xml:space="preserve">without having to make an </w:t>
      </w:r>
      <w:r w:rsidR="00820D26" w:rsidRPr="00003D2E">
        <w:rPr>
          <w:i/>
        </w:rPr>
        <w:t>'all or nothing'</w:t>
      </w:r>
      <w:r w:rsidR="00820D26">
        <w:t xml:space="preserve"> choice </w:t>
      </w:r>
      <w:r>
        <w:t xml:space="preserve">between </w:t>
      </w:r>
      <w:r w:rsidR="00820D26">
        <w:t xml:space="preserve">apps and services (multi-homing), </w:t>
      </w:r>
      <w:r w:rsidR="00B05F30">
        <w:t>being</w:t>
      </w:r>
      <w:r>
        <w:t xml:space="preserve"> </w:t>
      </w:r>
      <w:r w:rsidR="00820D26">
        <w:t xml:space="preserve">able to use the services across multiple devices and operating systems, and </w:t>
      </w:r>
      <w:r w:rsidR="00B05F30">
        <w:t>being</w:t>
      </w:r>
      <w:r>
        <w:t xml:space="preserve"> </w:t>
      </w:r>
      <w:r w:rsidR="00820D26">
        <w:t>able to add on addit</w:t>
      </w:r>
      <w:r>
        <w:t xml:space="preserve">ional services as and when they choose, with </w:t>
      </w:r>
      <w:r w:rsidR="00004A80">
        <w:t>application</w:t>
      </w:r>
      <w:r w:rsidR="00CB4A3C">
        <w:t xml:space="preserve"> </w:t>
      </w:r>
      <w:r w:rsidR="00820D26">
        <w:t xml:space="preserve">providers </w:t>
      </w:r>
      <w:r>
        <w:t xml:space="preserve">working hard </w:t>
      </w:r>
      <w:r w:rsidR="00820D26">
        <w:t xml:space="preserve">to differentiate themselves through the diversity of features offered.  </w:t>
      </w:r>
      <w:r>
        <w:t>T</w:t>
      </w:r>
      <w:r w:rsidR="00820D26">
        <w:t xml:space="preserve">hese </w:t>
      </w:r>
      <w:r>
        <w:t xml:space="preserve">feature rich </w:t>
      </w:r>
      <w:r w:rsidR="00004A80">
        <w:t xml:space="preserve">options </w:t>
      </w:r>
      <w:r>
        <w:t>form a material part of</w:t>
      </w:r>
      <w:r w:rsidR="00820D26">
        <w:t xml:space="preserve"> consumers</w:t>
      </w:r>
      <w:r>
        <w:t>'</w:t>
      </w:r>
      <w:r w:rsidR="00820D26">
        <w:t xml:space="preserve"> and end-users</w:t>
      </w:r>
      <w:r>
        <w:t>' decisions</w:t>
      </w:r>
      <w:r w:rsidR="00820D26">
        <w:t xml:space="preserve"> </w:t>
      </w:r>
      <w:r>
        <w:t>in choosing</w:t>
      </w:r>
      <w:r w:rsidR="00820D26">
        <w:t xml:space="preserve"> to use </w:t>
      </w:r>
      <w:r w:rsidR="00CB4A3C">
        <w:t>OTT</w:t>
      </w:r>
      <w:r w:rsidR="00004A80">
        <w:t xml:space="preserve"> applications</w:t>
      </w:r>
      <w:r w:rsidR="00CB4A3C">
        <w:t xml:space="preserve"> </w:t>
      </w:r>
      <w:r w:rsidR="00B05F30">
        <w:t>alongside traditional telco services</w:t>
      </w:r>
      <w:r>
        <w:t>, over and above</w:t>
      </w:r>
      <w:r w:rsidR="00820D26">
        <w:t xml:space="preserve"> </w:t>
      </w:r>
      <w:r>
        <w:t xml:space="preserve">purely </w:t>
      </w:r>
      <w:r w:rsidR="00820D26">
        <w:t xml:space="preserve">monetary considerations and the fact that typically RIAs are provided for free. </w:t>
      </w:r>
    </w:p>
    <w:p w14:paraId="03D32AA0" w14:textId="39FDF8F9" w:rsidR="00DD3197" w:rsidRDefault="00DD3197" w:rsidP="00DD3197">
      <w:pPr>
        <w:pStyle w:val="BodyText1"/>
        <w:numPr>
          <w:ilvl w:val="0"/>
          <w:numId w:val="40"/>
        </w:numPr>
      </w:pPr>
      <w:r w:rsidRPr="00DD3197">
        <w:t xml:space="preserve">Messaging services are powering the dynamic App economy, allowing </w:t>
      </w:r>
      <w:proofErr w:type="spellStart"/>
      <w:r w:rsidRPr="00DD3197">
        <w:t>startups</w:t>
      </w:r>
      <w:proofErr w:type="spellEnd"/>
      <w:r w:rsidRPr="00DD3197">
        <w:t xml:space="preserve"> to reach millions and improving consumer life through innovation. The App Association details this rise of a $120 billion ecosystem in its annual report. Message and communication services are being integrated into all sorts of apps - from travel booking services to dating services</w:t>
      </w:r>
      <w:r>
        <w:rPr>
          <w:rStyle w:val="FootnoteReference"/>
        </w:rPr>
        <w:footnoteReference w:id="4"/>
      </w:r>
      <w:r w:rsidRPr="00DD3197">
        <w:t>.</w:t>
      </w:r>
    </w:p>
    <w:p w14:paraId="5C8236E0" w14:textId="7C11DA75" w:rsidR="00E8404E" w:rsidRDefault="00003D2E" w:rsidP="009875CD">
      <w:pPr>
        <w:pStyle w:val="BodyText1"/>
        <w:numPr>
          <w:ilvl w:val="0"/>
          <w:numId w:val="40"/>
        </w:numPr>
      </w:pPr>
      <w:r>
        <w:t xml:space="preserve">There is huge potential for further innovative applications and use cases to be developed. </w:t>
      </w:r>
      <w:r w:rsidR="009875CD">
        <w:t>In order to do so</w:t>
      </w:r>
      <w:r w:rsidR="007972F1">
        <w:t>,</w:t>
      </w:r>
      <w:r w:rsidR="009875CD">
        <w:t xml:space="preserve"> however, it is critical that the right environment exists that promotes rather than stifles innovation. </w:t>
      </w:r>
      <w:r w:rsidR="00B05F30">
        <w:t>This is discussed further in response to Q2.</w:t>
      </w:r>
    </w:p>
    <w:p w14:paraId="7F3EBDC2" w14:textId="2793B94E" w:rsidR="00BE6861" w:rsidRDefault="00BE6861" w:rsidP="00BE6861">
      <w:pPr>
        <w:pStyle w:val="BodyText1"/>
        <w:rPr>
          <w:b/>
        </w:rPr>
      </w:pPr>
      <w:r>
        <w:rPr>
          <w:b/>
        </w:rPr>
        <w:lastRenderedPageBreak/>
        <w:t>Benefits to Businesses</w:t>
      </w:r>
    </w:p>
    <w:p w14:paraId="22170CC3" w14:textId="75F04911" w:rsidR="00BE6861" w:rsidRDefault="00BE6861" w:rsidP="00BE6861">
      <w:pPr>
        <w:pStyle w:val="BodyText1"/>
      </w:pPr>
      <w:r>
        <w:t>Platforms and OTTs enable local value creation for businesses (particularly Small and Medium Enterprises)</w:t>
      </w:r>
      <w:r w:rsidR="007972F1">
        <w:t>.</w:t>
      </w:r>
      <w:r>
        <w:t xml:space="preserve">  Small and Medium Enterprises (SMEs) use OTT technology to </w:t>
      </w:r>
      <w:r w:rsidR="00CA5462">
        <w:t>become competitive with</w:t>
      </w:r>
      <w:r>
        <w:t xml:space="preserve"> large corporations, enabling multi-sided interaction that can help local merchants grow with almost no barrier to entry and little monetary risk. OTTs and Internet services give SMEs direct access to billions of </w:t>
      </w:r>
      <w:r w:rsidR="007972F1">
        <w:t xml:space="preserve">potential </w:t>
      </w:r>
      <w:r>
        <w:t xml:space="preserve">customers instantly, and SMEs can use the world’s best technology with easy to use tools to gather critical information on foreign markets - all at zero (or close to zero) cost.  </w:t>
      </w:r>
    </w:p>
    <w:p w14:paraId="134F9A1A" w14:textId="7BE2F547" w:rsidR="00BE6861" w:rsidRDefault="00BE6861" w:rsidP="00BE6861">
      <w:pPr>
        <w:pStyle w:val="BodyText1"/>
      </w:pPr>
      <w:r>
        <w:t>Small firms use systems provided by OTTs to establish trust and international brand awareness, which allow them to grow and export. A website and the use of trusted online services gives SMEs instant international presence and legitimacy with potential customers and suppliers. SMEs that are online are almost 4 times more likely to be exporting</w:t>
      </w:r>
      <w:r>
        <w:rPr>
          <w:rStyle w:val="FootnoteReference"/>
        </w:rPr>
        <w:footnoteReference w:id="5"/>
      </w:r>
      <w:r>
        <w:t>. In addition, “web-sa</w:t>
      </w:r>
      <w:r w:rsidR="00206E52">
        <w:t>vvy” SMEs utilizing OTT’s</w:t>
      </w:r>
      <w:r>
        <w:t xml:space="preserve"> brought</w:t>
      </w:r>
      <w:r w:rsidRPr="00BE6861">
        <w:t xml:space="preserve"> </w:t>
      </w:r>
      <w:r>
        <w:t>in 2 times as much revenue through exports as a percent of total sales than other companies and created more than 2 times as many jobs</w:t>
      </w:r>
      <w:r>
        <w:rPr>
          <w:rStyle w:val="FootnoteReference"/>
        </w:rPr>
        <w:footnoteReference w:id="6"/>
      </w:r>
      <w:r>
        <w:t>. SMEs also leverage OTTs for payment and money transfer functions that enable remittance payments at substantially lower cost; for India alone, this could amount to</w:t>
      </w:r>
      <w:r w:rsidR="00A82DAE">
        <w:t xml:space="preserve"> saving</w:t>
      </w:r>
      <w:r>
        <w:t xml:space="preserve"> US$4.4 </w:t>
      </w:r>
      <w:r w:rsidR="00944927">
        <w:t>billion annually. As these OTT</w:t>
      </w:r>
      <w:r w:rsidR="00944927">
        <w:rPr>
          <w:rStyle w:val="FootnoteReference"/>
        </w:rPr>
        <w:footnoteReference w:id="7"/>
      </w:r>
      <w:r>
        <w:t xml:space="preserve"> functions that are high in demand from consumers require data to be utilized, this has a substantial positive impact on telecommunications providers’ business. </w:t>
      </w:r>
    </w:p>
    <w:p w14:paraId="6938AE8A" w14:textId="551DFB02" w:rsidR="00BE6861" w:rsidRPr="00BE6861" w:rsidRDefault="00BE6861" w:rsidP="00BE6861">
      <w:pPr>
        <w:pStyle w:val="BodyText1"/>
      </w:pPr>
      <w:r>
        <w:t>OTTs and Internet services are also a cross-cutting enabler, and allow entrepreneurs to devise new solutions to address issues as diverse as efficiently managing energy consumption, revolutionizing education and learning, and improving the effectiveness of governm</w:t>
      </w:r>
      <w:r w:rsidR="00944927">
        <w:t xml:space="preserve">ent services and institutions. </w:t>
      </w:r>
      <w:r w:rsidR="00DD3197">
        <w:t>O</w:t>
      </w:r>
      <w:r w:rsidR="00DD3197" w:rsidRPr="00DD3197">
        <w:t xml:space="preserve">ne should note that most of OTT players are SMEs, not big players. They are start-ups. Innovation has mainly taken place in the online space. Unlike with traditional telephony services, competition among messaging services is fierce and the barriers to entry are low. Some online service providers have taken great risks in trying to provide innovative solutions at a small cost for the consumer. The risk of imposing disproportionate regulatory constraints on OTT service providers is that the market is likely to concentrate and leave behind only the major players. It </w:t>
      </w:r>
      <w:r w:rsidR="007972F1">
        <w:t>is thus</w:t>
      </w:r>
      <w:r w:rsidR="007972F1" w:rsidRPr="00DD3197">
        <w:t xml:space="preserve"> </w:t>
      </w:r>
      <w:r w:rsidR="00DD3197" w:rsidRPr="00DD3197">
        <w:t>important that regulation</w:t>
      </w:r>
      <w:r w:rsidR="007972F1">
        <w:t>s</w:t>
      </w:r>
      <w:r w:rsidR="00DD3197" w:rsidRPr="00DD3197">
        <w:t xml:space="preserve"> promote competition, sustain innovation and allow consumers the ability to choose amongst a diverse range of service providers.</w:t>
      </w:r>
    </w:p>
    <w:p w14:paraId="5165521D" w14:textId="1BB297AF" w:rsidR="00BE6861" w:rsidRDefault="00BE6861" w:rsidP="00BE6861">
      <w:pPr>
        <w:pStyle w:val="BodyText1"/>
        <w:rPr>
          <w:b/>
        </w:rPr>
      </w:pPr>
      <w:r>
        <w:rPr>
          <w:b/>
        </w:rPr>
        <w:t xml:space="preserve">Benefits to </w:t>
      </w:r>
      <w:r w:rsidRPr="00BE6861">
        <w:rPr>
          <w:b/>
        </w:rPr>
        <w:t>Sustainable Development</w:t>
      </w:r>
    </w:p>
    <w:p w14:paraId="64D64D6A" w14:textId="1523D607" w:rsidR="00944927" w:rsidRDefault="00944927" w:rsidP="00944927">
      <w:pPr>
        <w:pStyle w:val="BodyText1"/>
      </w:pPr>
      <w:r>
        <w:t>OTTs are helping the world reach the UN Sustainable Development Goals</w:t>
      </w:r>
      <w:r w:rsidR="00A82DAE">
        <w:t xml:space="preserve"> (SDGs)</w:t>
      </w:r>
      <w:r>
        <w:t xml:space="preserve"> and drive inclusive growth</w:t>
      </w:r>
      <w:r w:rsidR="007972F1">
        <w:t>.</w:t>
      </w:r>
      <w:r>
        <w:t xml:space="preserve"> OTTs are moving the needle towards the achievement of UN Sustainable Development Goals.  New services provided over the Internet support innovation, economic development, and better paying jobs, which is crucial to attaining SDG8: Decent Work and Economic Growth.  </w:t>
      </w:r>
    </w:p>
    <w:p w14:paraId="2D71E832" w14:textId="1D81A0EA" w:rsidR="00BE6861" w:rsidRPr="00944927" w:rsidRDefault="00944927" w:rsidP="00944927">
      <w:pPr>
        <w:pStyle w:val="BodyText1"/>
      </w:pPr>
      <w:r>
        <w:t>Regulating OTTs would reduce the likelihood of achieving various SDGs such as increasing accessibility to communications and technologies, as well as stifling innovation.  Regulation of OTTs would also stifle the usage of the Internet and investment in broadband deployment.  Internet services are also providing innovation solutions that support the attainment of other human rights, such as freedom of movement, freedom of expression, and full participation in the cultural life of the community.</w:t>
      </w:r>
    </w:p>
    <w:p w14:paraId="003EF74A" w14:textId="781E6ADA" w:rsidR="00BE6861" w:rsidRDefault="00BE6861" w:rsidP="00BE6861">
      <w:pPr>
        <w:pStyle w:val="BodyText1"/>
        <w:rPr>
          <w:b/>
        </w:rPr>
      </w:pPr>
      <w:r w:rsidRPr="00BE6861">
        <w:rPr>
          <w:b/>
        </w:rPr>
        <w:t>Benefits to the Telecommunications Sector and Operator</w:t>
      </w:r>
      <w:r>
        <w:rPr>
          <w:b/>
        </w:rPr>
        <w:t>s</w:t>
      </w:r>
    </w:p>
    <w:p w14:paraId="3989F20F" w14:textId="226A8935" w:rsidR="00944927" w:rsidRDefault="00944927" w:rsidP="00944927">
      <w:pPr>
        <w:pStyle w:val="BodyText1"/>
      </w:pPr>
      <w:r>
        <w:t xml:space="preserve">OTTs drive revenues for </w:t>
      </w:r>
      <w:r w:rsidR="00CA5462">
        <w:t>t</w:t>
      </w:r>
      <w:r>
        <w:t>elecoms operators</w:t>
      </w:r>
      <w:r w:rsidR="00CA5462">
        <w:t>.</w:t>
      </w:r>
      <w:r>
        <w:t xml:space="preserve"> </w:t>
      </w:r>
      <w:r w:rsidR="00CA5462">
        <w:t xml:space="preserve"> </w:t>
      </w:r>
      <w:r>
        <w:t xml:space="preserve">Online communication services are accelerating demand for mobile broadband and smartphones, helping to stimulate the growth of traditional telecommunication markets. Their </w:t>
      </w:r>
      <w:r w:rsidR="00CA5462">
        <w:t>disruption of</w:t>
      </w:r>
      <w:r>
        <w:t xml:space="preserve"> traditional markets </w:t>
      </w:r>
      <w:r w:rsidR="00CA5462">
        <w:t>is unavoidable</w:t>
      </w:r>
      <w:r>
        <w:t xml:space="preserve"> and </w:t>
      </w:r>
      <w:r w:rsidR="006D0B74">
        <w:t xml:space="preserve">in most economies far outweighed by </w:t>
      </w:r>
      <w:r>
        <w:t xml:space="preserve">positive impacts, opening up </w:t>
      </w:r>
      <w:r w:rsidR="006D0B74">
        <w:t xml:space="preserve">huge profit </w:t>
      </w:r>
      <w:r>
        <w:t>opportunities for telecom players with the switch to data (seen as the natural evolution of the telecommunication markets)</w:t>
      </w:r>
      <w:r w:rsidR="007972F1">
        <w:t>,</w:t>
      </w:r>
      <w:r>
        <w:t xml:space="preserve"> and new economic opportunities even beyond telecom markets. The value from this demand flows</w:t>
      </w:r>
      <w:r w:rsidR="00CA5462">
        <w:t xml:space="preserve"> not only to the ISPs, but also</w:t>
      </w:r>
      <w:r>
        <w:t xml:space="preserve"> directly to consumers, who benefit from email and messaging, platforms to buy and sell goods, </w:t>
      </w:r>
      <w:r w:rsidR="007972F1">
        <w:t xml:space="preserve">and </w:t>
      </w:r>
      <w:r>
        <w:t xml:space="preserve">access to information, education and healthcare, often for free. </w:t>
      </w:r>
    </w:p>
    <w:p w14:paraId="5BEF2DFB" w14:textId="5E226FC3" w:rsidR="00BE6861" w:rsidRPr="00944927" w:rsidRDefault="00944927" w:rsidP="00944927">
      <w:pPr>
        <w:pStyle w:val="BodyText1"/>
      </w:pPr>
      <w:r>
        <w:t xml:space="preserve">Countries that have been more open to online communications services have seen a faster adoption of mobile broadband, smartphones and consequently of their economic growth through mobile applications </w:t>
      </w:r>
      <w:r>
        <w:lastRenderedPageBreak/>
        <w:t>and services. In Indonesia alone, for example, online content and applications drove over IDR89 trillion</w:t>
      </w:r>
      <w:r>
        <w:rPr>
          <w:rStyle w:val="FootnoteReference"/>
        </w:rPr>
        <w:footnoteReference w:id="8"/>
      </w:r>
      <w:r>
        <w:t xml:space="preserve"> (</w:t>
      </w:r>
      <w:r w:rsidR="00DF712A">
        <w:t>USD $</w:t>
      </w:r>
      <w:r>
        <w:t>6.6b) in economic value for consumers and telecom operators in Indonesia in 2015. Of this, IDR48 trillion were paid to telecom operators for Internet access.</w:t>
      </w:r>
      <w:r>
        <w:rPr>
          <w:rStyle w:val="FootnoteReference"/>
        </w:rPr>
        <w:footnoteReference w:id="9"/>
      </w:r>
    </w:p>
    <w:p w14:paraId="165602E4" w14:textId="0EC2380F" w:rsidR="00BE6861" w:rsidRPr="00944927" w:rsidRDefault="00944927" w:rsidP="00BE6861">
      <w:pPr>
        <w:pStyle w:val="BodyText1"/>
      </w:pPr>
      <w:r w:rsidRPr="00944927">
        <w:t xml:space="preserve">Telecommunications operators are looking to the Internet and digital services to fuel a new period of growth. Recent reports have shown that operators could benefit strongly from further interactions with OTTs, directly through partnerships, and indirectly by adapting their business to consumers’ fast-growing demand for online content and services. This process of ‘digital transformation’ is well underway. The telecoms industry and online service providers are stronger when working in close partnership. </w:t>
      </w:r>
      <w:proofErr w:type="spellStart"/>
      <w:r w:rsidRPr="00944927">
        <w:t>Analysys</w:t>
      </w:r>
      <w:proofErr w:type="spellEnd"/>
      <w:r w:rsidRPr="00944927">
        <w:t xml:space="preserve"> Mason has estimated that if operators in Europe, the Middle East and Africa accelerated this process and deepened their partnerships with OSPs, they could improve annual cash flows by billions of Euros in a matter of years</w:t>
      </w:r>
      <w:r w:rsidR="00286593">
        <w:rPr>
          <w:rStyle w:val="FootnoteReference"/>
        </w:rPr>
        <w:footnoteReference w:id="10"/>
      </w:r>
      <w:r w:rsidRPr="00944927">
        <w:t>. A similar impact could be extrapolated to other regions in the world.</w:t>
      </w:r>
    </w:p>
    <w:p w14:paraId="0A8025EA" w14:textId="1F0923B5" w:rsidR="00E8404E" w:rsidRDefault="00E8404E" w:rsidP="00944927">
      <w:pPr>
        <w:pStyle w:val="BodyText1"/>
        <w:numPr>
          <w:ilvl w:val="0"/>
          <w:numId w:val="53"/>
        </w:numPr>
        <w:rPr>
          <w:b/>
        </w:rPr>
      </w:pPr>
      <w:r>
        <w:rPr>
          <w:b/>
        </w:rPr>
        <w:t>What are the policy and regulatory matters associated with OTT?</w:t>
      </w:r>
    </w:p>
    <w:p w14:paraId="098AD02F" w14:textId="3A850F88" w:rsidR="00130E67" w:rsidRDefault="00D46078" w:rsidP="009E4D45">
      <w:pPr>
        <w:pStyle w:val="BodyText1"/>
        <w:numPr>
          <w:ilvl w:val="0"/>
          <w:numId w:val="41"/>
        </w:numPr>
      </w:pPr>
      <w:r>
        <w:t>Policymakers</w:t>
      </w:r>
      <w:r w:rsidR="009E4D45">
        <w:t xml:space="preserve"> and regulators </w:t>
      </w:r>
      <w:r>
        <w:t>should develop</w:t>
      </w:r>
      <w:r w:rsidR="009E4D45">
        <w:t xml:space="preserve"> frameworks that will drive innovation and investment and ensure users are able to benefit from increased </w:t>
      </w:r>
      <w:r>
        <w:t>use of</w:t>
      </w:r>
      <w:r w:rsidR="009E4D45">
        <w:t xml:space="preserve"> </w:t>
      </w:r>
      <w:r w:rsidR="00CB4A3C">
        <w:t>OTT</w:t>
      </w:r>
      <w:r w:rsidR="00004A80">
        <w:t xml:space="preserve"> applications</w:t>
      </w:r>
      <w:r w:rsidR="009E4D45">
        <w:t>.</w:t>
      </w:r>
      <w:r w:rsidR="00966F8B">
        <w:t xml:space="preserve"> </w:t>
      </w:r>
    </w:p>
    <w:p w14:paraId="27FCDA9F" w14:textId="263EC041" w:rsidR="006F52A0" w:rsidRDefault="009E4D45" w:rsidP="009E4D45">
      <w:pPr>
        <w:pStyle w:val="BodyText1"/>
        <w:numPr>
          <w:ilvl w:val="0"/>
          <w:numId w:val="41"/>
        </w:numPr>
      </w:pPr>
      <w:r>
        <w:t>Over</w:t>
      </w:r>
      <w:r w:rsidR="00F83482">
        <w:t>ly</w:t>
      </w:r>
      <w:r>
        <w:t xml:space="preserve">-strict regulation or regulation imposed too early in the development lifecycle of RIAs would stifle innovation and investment and dampen competition. </w:t>
      </w:r>
    </w:p>
    <w:p w14:paraId="2D615F56" w14:textId="3F84B8F5" w:rsidR="00C93DE4" w:rsidRPr="006F52A0" w:rsidRDefault="006F52A0" w:rsidP="000650C9">
      <w:pPr>
        <w:pStyle w:val="ListParagraph"/>
        <w:numPr>
          <w:ilvl w:val="0"/>
          <w:numId w:val="41"/>
        </w:numPr>
        <w:overflowPunct/>
        <w:autoSpaceDE/>
        <w:autoSpaceDN/>
        <w:adjustRightInd/>
        <w:spacing w:before="0" w:after="0"/>
        <w:jc w:val="left"/>
        <w:textAlignment w:val="auto"/>
        <w:rPr>
          <w:color w:val="000000"/>
        </w:rPr>
      </w:pPr>
      <w:r>
        <w:t xml:space="preserve">Traditional regulations may be outdated in today’s communications landscape and could inhibit telecommunications operators’ ability to innovate and invest.  Rather than expanding outmoded, burdensome </w:t>
      </w:r>
      <w:r w:rsidR="00004A80">
        <w:t xml:space="preserve">legacy </w:t>
      </w:r>
      <w:r>
        <w:t>regulations to new services and technologies, regulators should seek to deregulate incumbent telecommunications operators, as appropriate.</w:t>
      </w:r>
    </w:p>
    <w:p w14:paraId="0B932BEE" w14:textId="72C51BE1" w:rsidR="00C84F43" w:rsidRDefault="00064E7B" w:rsidP="009E4D45">
      <w:pPr>
        <w:pStyle w:val="BodyText1"/>
        <w:numPr>
          <w:ilvl w:val="0"/>
          <w:numId w:val="41"/>
        </w:numPr>
      </w:pPr>
      <w:r>
        <w:t>OTT</w:t>
      </w:r>
      <w:r w:rsidR="00004A80">
        <w:t xml:space="preserve"> applications</w:t>
      </w:r>
      <w:r>
        <w:t xml:space="preserve"> </w:t>
      </w:r>
      <w:r w:rsidR="007C262B">
        <w:t>and traditional telco services are often used by consumers / end-u</w:t>
      </w:r>
      <w:r w:rsidR="00AB353F">
        <w:t xml:space="preserve">sers in a complementary manner </w:t>
      </w:r>
      <w:r w:rsidR="007C262B">
        <w:t xml:space="preserve">– </w:t>
      </w:r>
      <w:r w:rsidR="00AB353F">
        <w:t xml:space="preserve">but </w:t>
      </w:r>
      <w:r w:rsidR="007C262B">
        <w:t xml:space="preserve">they are not the </w:t>
      </w:r>
      <w:r w:rsidR="00AB353F">
        <w:t>"</w:t>
      </w:r>
      <w:r w:rsidR="007C262B" w:rsidRPr="00AB353F">
        <w:rPr>
          <w:i/>
        </w:rPr>
        <w:t>same service</w:t>
      </w:r>
      <w:r w:rsidR="00AB353F">
        <w:t>"</w:t>
      </w:r>
      <w:r w:rsidR="00A4363F">
        <w:t>.</w:t>
      </w:r>
      <w:r w:rsidR="007C262B">
        <w:t xml:space="preserve"> </w:t>
      </w:r>
    </w:p>
    <w:p w14:paraId="2808FA17" w14:textId="19470862" w:rsidR="00AB353F" w:rsidRDefault="00AB353F" w:rsidP="009E4D45">
      <w:pPr>
        <w:pStyle w:val="BodyText1"/>
        <w:numPr>
          <w:ilvl w:val="0"/>
          <w:numId w:val="41"/>
        </w:numPr>
      </w:pPr>
      <w:r>
        <w:t xml:space="preserve">There are important differences between </w:t>
      </w:r>
      <w:r w:rsidR="00EC4CD9">
        <w:t>OTT</w:t>
      </w:r>
      <w:r w:rsidR="00004A80">
        <w:t xml:space="preserve"> application</w:t>
      </w:r>
      <w:r w:rsidR="00F83482">
        <w:t xml:space="preserve"> providers</w:t>
      </w:r>
      <w:r w:rsidR="00EC4CD9">
        <w:t xml:space="preserve"> </w:t>
      </w:r>
      <w:r>
        <w:t xml:space="preserve">and traditional telecoms services providers: </w:t>
      </w:r>
    </w:p>
    <w:p w14:paraId="7B6F19C5" w14:textId="77777777" w:rsidR="00AB353F" w:rsidRDefault="00C112E2" w:rsidP="00AB353F">
      <w:pPr>
        <w:pStyle w:val="BodyText1"/>
        <w:numPr>
          <w:ilvl w:val="1"/>
          <w:numId w:val="41"/>
        </w:numPr>
      </w:pPr>
      <w:r>
        <w:t xml:space="preserve">Telecoms operators control the underlying broadband access infrastructure, with few market players and high barriers to market entry. </w:t>
      </w:r>
    </w:p>
    <w:p w14:paraId="703C9D77" w14:textId="6C1E798A" w:rsidR="00AB353F" w:rsidRDefault="00F83482" w:rsidP="00AB353F">
      <w:pPr>
        <w:pStyle w:val="BodyText1"/>
        <w:numPr>
          <w:ilvl w:val="1"/>
          <w:numId w:val="41"/>
        </w:numPr>
      </w:pPr>
      <w:r>
        <w:t xml:space="preserve">In </w:t>
      </w:r>
      <w:r w:rsidR="00C112E2">
        <w:t xml:space="preserve">contrast, </w:t>
      </w:r>
      <w:r w:rsidR="00004A80">
        <w:t>Internet companies that provide OTT applications</w:t>
      </w:r>
      <w:r w:rsidR="00EB40B7">
        <w:t xml:space="preserve"> </w:t>
      </w:r>
      <w:r w:rsidR="00C112E2">
        <w:t>do not control the underlying broadband access point</w:t>
      </w:r>
      <w:r>
        <w:t>s</w:t>
      </w:r>
      <w:r w:rsidR="00C112E2">
        <w:t xml:space="preserve">, have significantly lower barriers to market entry and are faced with many competing services. Consumers can add </w:t>
      </w:r>
      <w:r w:rsidR="00EB40B7">
        <w:t>or stop using OTT</w:t>
      </w:r>
      <w:r w:rsidR="00004A80">
        <w:t xml:space="preserve"> applications</w:t>
      </w:r>
      <w:r w:rsidR="00C112E2">
        <w:t xml:space="preserve"> at will and are typically not subject to long term contracts. </w:t>
      </w:r>
    </w:p>
    <w:p w14:paraId="6071C4A8" w14:textId="1B52E6B5" w:rsidR="00C112E2" w:rsidRDefault="00C112E2" w:rsidP="008736FF">
      <w:pPr>
        <w:pStyle w:val="BodyText1"/>
        <w:ind w:left="1440"/>
      </w:pPr>
      <w:r>
        <w:t>The "</w:t>
      </w:r>
      <w:r w:rsidRPr="00C112E2">
        <w:rPr>
          <w:i/>
        </w:rPr>
        <w:t>same service, same rules</w:t>
      </w:r>
      <w:r>
        <w:t xml:space="preserve">" argument is </w:t>
      </w:r>
      <w:r w:rsidR="006F3243">
        <w:t xml:space="preserve">entirely misplaced when used to press for extension of legacy service </w:t>
      </w:r>
      <w:proofErr w:type="spellStart"/>
      <w:r w:rsidR="006F3243">
        <w:t>regulatons</w:t>
      </w:r>
      <w:proofErr w:type="spellEnd"/>
      <w:r w:rsidR="006F3243">
        <w:t xml:space="preserve"> to OTT offerings</w:t>
      </w:r>
      <w:r>
        <w:t xml:space="preserve">.  </w:t>
      </w:r>
    </w:p>
    <w:p w14:paraId="07924690" w14:textId="0D0A3288" w:rsidR="00E66453" w:rsidRDefault="00C93DE4" w:rsidP="009E4D45">
      <w:pPr>
        <w:pStyle w:val="BodyText1"/>
        <w:numPr>
          <w:ilvl w:val="0"/>
          <w:numId w:val="41"/>
        </w:numPr>
      </w:pPr>
      <w:r>
        <w:t>Imposing the same rules</w:t>
      </w:r>
      <w:r w:rsidR="007C262B">
        <w:t xml:space="preserve"> from a policy and regulatory perspective </w:t>
      </w:r>
      <w:r w:rsidR="00D3492C">
        <w:t xml:space="preserve">therefore </w:t>
      </w:r>
      <w:r>
        <w:t xml:space="preserve">fails to recognise that </w:t>
      </w:r>
      <w:r w:rsidR="00EB40B7">
        <w:t>OTT</w:t>
      </w:r>
      <w:r w:rsidR="00004A80">
        <w:t xml:space="preserve"> applications</w:t>
      </w:r>
      <w:r w:rsidR="00EB40B7">
        <w:t xml:space="preserve"> </w:t>
      </w:r>
      <w:r w:rsidR="00C112E2">
        <w:t xml:space="preserve">are fundamentally different from traditional telecoms services. </w:t>
      </w:r>
    </w:p>
    <w:p w14:paraId="11A9BA83" w14:textId="734AFD35" w:rsidR="00E66453" w:rsidRDefault="00E66453" w:rsidP="00E66453">
      <w:pPr>
        <w:pStyle w:val="BodyText1"/>
        <w:numPr>
          <w:ilvl w:val="0"/>
          <w:numId w:val="41"/>
        </w:numPr>
      </w:pPr>
      <w:r>
        <w:t>There</w:t>
      </w:r>
      <w:r w:rsidRPr="00E66453">
        <w:t xml:space="preserve"> are physical, technological and legal differences between traditional telco services and </w:t>
      </w:r>
      <w:r w:rsidR="00CB03CC">
        <w:t>OTT</w:t>
      </w:r>
      <w:r w:rsidR="00004A80">
        <w:t xml:space="preserve"> applications</w:t>
      </w:r>
      <w:r w:rsidR="00CB03CC" w:rsidRPr="00E66453">
        <w:t xml:space="preserve"> </w:t>
      </w:r>
      <w:r w:rsidRPr="00E66453">
        <w:t xml:space="preserve">– and these differences need to be reflected in any policy or regulatory framework. </w:t>
      </w:r>
      <w:r w:rsidR="00285FE7">
        <w:t>For example,</w:t>
      </w:r>
      <w:r w:rsidRPr="00E66453">
        <w:t xml:space="preserve"> the "</w:t>
      </w:r>
      <w:r w:rsidRPr="00E66453">
        <w:rPr>
          <w:i/>
        </w:rPr>
        <w:t>call termination monopoly</w:t>
      </w:r>
      <w:r w:rsidRPr="00E66453">
        <w:t xml:space="preserve">" is specific to traditional telco services with legacy voice and SMS (using numbering resources) which </w:t>
      </w:r>
      <w:r w:rsidRPr="00E66453">
        <w:lastRenderedPageBreak/>
        <w:t>introduce</w:t>
      </w:r>
      <w:r w:rsidR="00D3492C">
        <w:t>d</w:t>
      </w:r>
      <w:r w:rsidRPr="00E66453">
        <w:t xml:space="preserve"> a "</w:t>
      </w:r>
      <w:r w:rsidRPr="00E66453">
        <w:rPr>
          <w:i/>
        </w:rPr>
        <w:t>monopoly</w:t>
      </w:r>
      <w:r w:rsidRPr="00E66453">
        <w:t>" and which end-users need in order to switch provider</w:t>
      </w:r>
      <w:r w:rsidRPr="00E66453">
        <w:rPr>
          <w:vertAlign w:val="superscript"/>
        </w:rPr>
        <w:footnoteReference w:id="11"/>
      </w:r>
      <w:r w:rsidRPr="00E66453">
        <w:t xml:space="preserve">. By contrast, end-users can readily download, use, and switch between multiple </w:t>
      </w:r>
      <w:r w:rsidR="00E27C4A">
        <w:t>OTT</w:t>
      </w:r>
      <w:r w:rsidR="00004A80">
        <w:t xml:space="preserve"> applications</w:t>
      </w:r>
      <w:r w:rsidR="00E27C4A" w:rsidRPr="00E66453">
        <w:t xml:space="preserve"> </w:t>
      </w:r>
      <w:r w:rsidRPr="00E66453">
        <w:t xml:space="preserve">– if a </w:t>
      </w:r>
      <w:r w:rsidR="00D3492C">
        <w:t>"</w:t>
      </w:r>
      <w:r w:rsidRPr="00D3492C">
        <w:rPr>
          <w:i/>
        </w:rPr>
        <w:t>same service, same regulatory rule</w:t>
      </w:r>
      <w:r w:rsidR="00D3492C">
        <w:t>"</w:t>
      </w:r>
      <w:r w:rsidRPr="00E66453">
        <w:t xml:space="preserve"> </w:t>
      </w:r>
      <w:r w:rsidR="00D3492C">
        <w:t>approach were applied</w:t>
      </w:r>
      <w:r w:rsidR="00004A80">
        <w:t>,</w:t>
      </w:r>
      <w:r w:rsidR="00D3492C">
        <w:t xml:space="preserve"> then the</w:t>
      </w:r>
      <w:r w:rsidRPr="00E66453">
        <w:t xml:space="preserve"> exclusive access of legacy services that enables them to bundle voice and SMS with broadband access would need to be 'unbundled' and these services offered on a disaggregated basis</w:t>
      </w:r>
      <w:r w:rsidR="00004A80">
        <w:t xml:space="preserve"> if provided by a traditional network operator</w:t>
      </w:r>
      <w:r w:rsidRPr="00E66453">
        <w:t>.</w:t>
      </w:r>
    </w:p>
    <w:p w14:paraId="3764EFE8" w14:textId="73358AF8" w:rsidR="00C93DE4" w:rsidRDefault="0078242A" w:rsidP="009E4D45">
      <w:pPr>
        <w:pStyle w:val="BodyText1"/>
        <w:numPr>
          <w:ilvl w:val="0"/>
          <w:numId w:val="41"/>
        </w:numPr>
      </w:pPr>
      <w:r>
        <w:t>OTT</w:t>
      </w:r>
      <w:r w:rsidR="00004A80">
        <w:t xml:space="preserve"> applicatio</w:t>
      </w:r>
      <w:r w:rsidR="006F3243">
        <w:t>n</w:t>
      </w:r>
      <w:r w:rsidR="00004A80">
        <w:t>s</w:t>
      </w:r>
      <w:r>
        <w:t xml:space="preserve"> </w:t>
      </w:r>
      <w:r w:rsidR="00D3492C">
        <w:t xml:space="preserve">and traditional telco services serve different functions and their history is different. </w:t>
      </w:r>
      <w:r>
        <w:t>OTT</w:t>
      </w:r>
      <w:r w:rsidR="00004A80">
        <w:t xml:space="preserve"> applications</w:t>
      </w:r>
      <w:r>
        <w:t xml:space="preserve"> </w:t>
      </w:r>
      <w:r w:rsidR="00D3492C">
        <w:t>did</w:t>
      </w:r>
      <w:r w:rsidR="00C93DE4">
        <w:t xml:space="preserve"> not derive from traditional telephony and SMS, but have evolved separately around feature rich functionality, able to benefit from the growing internet phenomenon and related uptake in broadband services.  </w:t>
      </w:r>
      <w:r w:rsidR="00E66453">
        <w:t>They ar</w:t>
      </w:r>
      <w:r w:rsidR="00285FE7">
        <w:t xml:space="preserve">e not the same </w:t>
      </w:r>
      <w:r w:rsidR="00D3492C">
        <w:t>as traditional telephony and SMS</w:t>
      </w:r>
      <w:r w:rsidR="007B762B">
        <w:t>:</w:t>
      </w:r>
      <w:r w:rsidR="00D3492C">
        <w:t xml:space="preserve"> they can be used in a complementary manner</w:t>
      </w:r>
      <w:r w:rsidR="007B762B">
        <w:t>.</w:t>
      </w:r>
    </w:p>
    <w:p w14:paraId="36547997" w14:textId="77777777" w:rsidR="009E4D45" w:rsidRDefault="00E66453" w:rsidP="009E4D45">
      <w:pPr>
        <w:pStyle w:val="BodyText1"/>
        <w:numPr>
          <w:ilvl w:val="0"/>
          <w:numId w:val="41"/>
        </w:numPr>
      </w:pPr>
      <w:r>
        <w:t>In</w:t>
      </w:r>
      <w:r w:rsidR="00333584">
        <w:t xml:space="preserve"> the</w:t>
      </w:r>
      <w:r w:rsidR="007C262B">
        <w:t xml:space="preserve"> recent </w:t>
      </w:r>
      <w:proofErr w:type="spellStart"/>
      <w:r w:rsidR="007C262B">
        <w:t>WiK</w:t>
      </w:r>
      <w:proofErr w:type="spellEnd"/>
      <w:r w:rsidR="007C262B">
        <w:t xml:space="preserve"> report on </w:t>
      </w:r>
      <w:r w:rsidR="00D3492C">
        <w:t>"</w:t>
      </w:r>
      <w:r w:rsidR="007C262B" w:rsidRPr="00D3492C">
        <w:rPr>
          <w:i/>
        </w:rPr>
        <w:t>The Economic and Societal Value of Rich Interaction Applications (RIAs) (May 2017)</w:t>
      </w:r>
      <w:r w:rsidR="00711C4F">
        <w:rPr>
          <w:rStyle w:val="FootnoteReference"/>
        </w:rPr>
        <w:footnoteReference w:id="12"/>
      </w:r>
      <w:r w:rsidR="00D3492C">
        <w:t>"</w:t>
      </w:r>
      <w:r w:rsidR="007C262B">
        <w:t xml:space="preserve"> which reviews over 139 apps globally, </w:t>
      </w:r>
      <w:r w:rsidR="0019368A">
        <w:t xml:space="preserve">the report identifies that </w:t>
      </w:r>
      <w:r w:rsidR="007C262B">
        <w:t>a typical RIA features on average 9 functions that offer consumers a wide range of interaction opportunities such as group chat, photo and video sharing, location sharing and real-time translation</w:t>
      </w:r>
      <w:r w:rsidR="00C93DE4">
        <w:t>; and that from a suite of functions, 23 can be identified as shared by at least 3 RIAs</w:t>
      </w:r>
      <w:r w:rsidR="007C262B">
        <w:t>. The same cannot be said of</w:t>
      </w:r>
      <w:r>
        <w:t xml:space="preserve"> vertically integrated</w:t>
      </w:r>
      <w:r w:rsidR="007C262B">
        <w:t xml:space="preserve"> traditional telco </w:t>
      </w:r>
      <w:r>
        <w:t>providers</w:t>
      </w:r>
      <w:r w:rsidR="007C262B">
        <w:t xml:space="preserve"> that offer </w:t>
      </w:r>
      <w:r w:rsidR="00C93DE4">
        <w:t xml:space="preserve">access to </w:t>
      </w:r>
      <w:r w:rsidR="007C262B">
        <w:t>much more limited suite of services</w:t>
      </w:r>
      <w:r w:rsidR="00C93DE4">
        <w:t xml:space="preserve"> and functionality</w:t>
      </w:r>
      <w:r w:rsidR="00D3492C">
        <w:t xml:space="preserve"> and usually only on one device e.g., the user's mobile phone or fixed line</w:t>
      </w:r>
      <w:r w:rsidR="007C262B">
        <w:t xml:space="preserve">.  </w:t>
      </w:r>
    </w:p>
    <w:p w14:paraId="61C95551" w14:textId="2469B68C" w:rsidR="00E66453" w:rsidRDefault="00E66453" w:rsidP="009E4D45">
      <w:pPr>
        <w:pStyle w:val="BodyText1"/>
        <w:numPr>
          <w:ilvl w:val="0"/>
          <w:numId w:val="41"/>
        </w:numPr>
      </w:pPr>
      <w:r>
        <w:t xml:space="preserve">Traditional telco providers </w:t>
      </w:r>
      <w:r w:rsidR="002A6A0E">
        <w:t xml:space="preserve">also </w:t>
      </w:r>
      <w:r>
        <w:t xml:space="preserve">often point to declining revenue and pricing models to argue for a </w:t>
      </w:r>
      <w:r w:rsidR="002A6A0E">
        <w:t>"</w:t>
      </w:r>
      <w:r w:rsidRPr="002A6A0E">
        <w:rPr>
          <w:i/>
        </w:rPr>
        <w:t>same service, same rule</w:t>
      </w:r>
      <w:r w:rsidR="002A6A0E">
        <w:t>"</w:t>
      </w:r>
      <w:r>
        <w:t xml:space="preserve"> approach for </w:t>
      </w:r>
      <w:r w:rsidR="002B3807">
        <w:t>OTT</w:t>
      </w:r>
      <w:r w:rsidR="00004A80">
        <w:t xml:space="preserve"> applications</w:t>
      </w:r>
      <w:r>
        <w:t>. But</w:t>
      </w:r>
      <w:r w:rsidR="0019368A">
        <w:t xml:space="preserve"> </w:t>
      </w:r>
      <w:r w:rsidR="002A6A0E">
        <w:t xml:space="preserve">the </w:t>
      </w:r>
      <w:r w:rsidR="0019368A">
        <w:t xml:space="preserve">same pricing model is inappropriate for </w:t>
      </w:r>
      <w:r w:rsidR="00DE6CFB">
        <w:t>OTT</w:t>
      </w:r>
      <w:r w:rsidR="00004A80">
        <w:t xml:space="preserve"> applications</w:t>
      </w:r>
      <w:r w:rsidR="00DE6CFB">
        <w:t xml:space="preserve"> </w:t>
      </w:r>
      <w:r w:rsidR="0019368A">
        <w:t xml:space="preserve">and traditional telco services – the </w:t>
      </w:r>
      <w:r w:rsidR="008F31B3">
        <w:t xml:space="preserve">assumptions and </w:t>
      </w:r>
      <w:r w:rsidR="0019368A">
        <w:t xml:space="preserve">metrics are different. In the traditional telco environment, </w:t>
      </w:r>
      <w:r w:rsidR="008F31B3">
        <w:t>the product is voice</w:t>
      </w:r>
      <w:r w:rsidR="002A6A0E">
        <w:t xml:space="preserve"> and</w:t>
      </w:r>
      <w:r w:rsidR="008F31B3">
        <w:t xml:space="preserve"> </w:t>
      </w:r>
      <w:r w:rsidR="0019368A">
        <w:t xml:space="preserve">the relevant pricing metric is minutes; in a new </w:t>
      </w:r>
      <w:r w:rsidR="00004A80">
        <w:t>digital data</w:t>
      </w:r>
      <w:r w:rsidR="0019368A">
        <w:t xml:space="preserve"> environment,</w:t>
      </w:r>
      <w:r w:rsidR="008F31B3">
        <w:t xml:space="preserve"> the product is </w:t>
      </w:r>
      <w:r w:rsidR="002A6A0E">
        <w:t xml:space="preserve">connectivity (e.g., </w:t>
      </w:r>
      <w:r w:rsidR="008F31B3">
        <w:t>connecting users</w:t>
      </w:r>
      <w:r w:rsidR="002A6A0E">
        <w:t>) and</w:t>
      </w:r>
      <w:r w:rsidR="0019368A">
        <w:t xml:space="preserve"> the relevant metric is bandwidth / throughput</w:t>
      </w:r>
      <w:r w:rsidR="008F31B3">
        <w:t>,</w:t>
      </w:r>
      <w:r w:rsidR="0019368A">
        <w:t xml:space="preserve"> </w:t>
      </w:r>
      <w:r w:rsidR="002A6A0E">
        <w:t>where</w:t>
      </w:r>
      <w:r w:rsidR="0019368A">
        <w:t xml:space="preserve"> the incremental cost of sending information over the underlying IP network is </w:t>
      </w:r>
      <w:r w:rsidR="002A6A0E">
        <w:t xml:space="preserve">typically </w:t>
      </w:r>
      <w:r w:rsidR="0019368A">
        <w:t>close to ze</w:t>
      </w:r>
      <w:r w:rsidR="002A6A0E">
        <w:t xml:space="preserve">ro. Downward pressure on traditional telco providers' revenue is a challenge posed not just by the collision of a new </w:t>
      </w:r>
      <w:r w:rsidR="00FA0EE8">
        <w:t>digital/data</w:t>
      </w:r>
      <w:r w:rsidR="00DE6CFB">
        <w:t xml:space="preserve"> </w:t>
      </w:r>
      <w:r w:rsidR="002A6A0E">
        <w:t xml:space="preserve">environment with the old traditional telephony voice and SMS </w:t>
      </w:r>
      <w:r w:rsidR="00FA0EE8">
        <w:t>business and regulatory model</w:t>
      </w:r>
      <w:r w:rsidR="002A6A0E">
        <w:t>, but as a result of increased competition following liberalisation of</w:t>
      </w:r>
      <w:r w:rsidR="00CC4735">
        <w:t xml:space="preserve"> telecoms</w:t>
      </w:r>
      <w:r w:rsidR="002A6A0E">
        <w:t xml:space="preserve"> markets</w:t>
      </w:r>
      <w:r w:rsidR="008E5306">
        <w:t xml:space="preserve"> and reduction in interconnection fees</w:t>
      </w:r>
      <w:r w:rsidR="002A6A0E">
        <w:t>.</w:t>
      </w:r>
      <w:r w:rsidR="00CC4735">
        <w:t xml:space="preserve"> </w:t>
      </w:r>
      <w:r w:rsidR="002A6A0E">
        <w:t xml:space="preserve"> </w:t>
      </w:r>
    </w:p>
    <w:p w14:paraId="03DAFEDD" w14:textId="68F73E3D" w:rsidR="008F31B3" w:rsidRDefault="008F31B3" w:rsidP="009E4D45">
      <w:pPr>
        <w:pStyle w:val="BodyText1"/>
        <w:numPr>
          <w:ilvl w:val="0"/>
          <w:numId w:val="41"/>
        </w:numPr>
      </w:pPr>
      <w:r>
        <w:t xml:space="preserve">Traditional telco providers </w:t>
      </w:r>
      <w:r w:rsidR="006F3243">
        <w:t xml:space="preserve">have </w:t>
      </w:r>
      <w:r>
        <w:t>way</w:t>
      </w:r>
      <w:r w:rsidR="006F3243">
        <w:t>s</w:t>
      </w:r>
      <w:r>
        <w:t xml:space="preserve"> to navigate this transition from business models built around voice/minutes to compete in a new IP environment and data </w:t>
      </w:r>
      <w:r w:rsidR="00FA0EE8">
        <w:t xml:space="preserve">centric </w:t>
      </w:r>
      <w:r>
        <w:t>business model</w:t>
      </w:r>
      <w:r w:rsidR="008E5306">
        <w:t>, and move towards more competitive markets</w:t>
      </w:r>
      <w:r w:rsidR="00C84F43">
        <w:t xml:space="preserve">. </w:t>
      </w:r>
      <w:r w:rsidR="00130E67">
        <w:t xml:space="preserve">The solution should not be to protect those </w:t>
      </w:r>
      <w:r w:rsidR="00E66453">
        <w:t>who are slow to adapt to a data-</w:t>
      </w:r>
      <w:r w:rsidR="00130E67">
        <w:t xml:space="preserve">first world by extending </w:t>
      </w:r>
      <w:r w:rsidR="00FA0EE8">
        <w:t xml:space="preserve">voice-era </w:t>
      </w:r>
      <w:r w:rsidR="00130E67">
        <w:t>regulation</w:t>
      </w:r>
      <w:r w:rsidR="00E66453">
        <w:t xml:space="preserve"> on new players, but to ensure that the ability for all market players to innovate and investment is increased – which will be best achieved by less, not more, regulation on traditional telco providers and </w:t>
      </w:r>
      <w:r w:rsidR="00DE6CFB">
        <w:t>OTT</w:t>
      </w:r>
      <w:r w:rsidR="00FA0EE8">
        <w:t xml:space="preserve"> application providers alike</w:t>
      </w:r>
      <w:r w:rsidR="00E66453">
        <w:t xml:space="preserve">. </w:t>
      </w:r>
    </w:p>
    <w:p w14:paraId="57308EC8" w14:textId="2D705F1E" w:rsidR="008F60AD" w:rsidRPr="00286593" w:rsidRDefault="008F60AD" w:rsidP="008F60AD">
      <w:pPr>
        <w:pStyle w:val="ListParagraph"/>
        <w:numPr>
          <w:ilvl w:val="0"/>
          <w:numId w:val="41"/>
        </w:numPr>
        <w:overflowPunct/>
        <w:autoSpaceDE/>
        <w:autoSpaceDN/>
        <w:adjustRightInd/>
        <w:spacing w:before="0" w:after="0"/>
        <w:jc w:val="left"/>
        <w:textAlignment w:val="auto"/>
        <w:rPr>
          <w:rFonts w:eastAsia="Times New Roman"/>
          <w:b/>
        </w:rPr>
      </w:pPr>
      <w:r>
        <w:rPr>
          <w:rFonts w:eastAsia="Times New Roman"/>
        </w:rPr>
        <w:t xml:space="preserve">Operators should have the flexibility to offer innovative communication services (such as messaging applications) that are not subjected to telecommunications regulations, so long as the services are offered in a neutral way that do not </w:t>
      </w:r>
      <w:proofErr w:type="spellStart"/>
      <w:r>
        <w:rPr>
          <w:rFonts w:eastAsia="Times New Roman"/>
        </w:rPr>
        <w:t>favor</w:t>
      </w:r>
      <w:proofErr w:type="spellEnd"/>
      <w:r>
        <w:rPr>
          <w:rFonts w:eastAsia="Times New Roman"/>
        </w:rPr>
        <w:t xml:space="preserve"> proprietary applications over competitive alternatives (i.e.</w:t>
      </w:r>
      <w:r w:rsidR="00A62498">
        <w:rPr>
          <w:rFonts w:eastAsia="Times New Roman"/>
        </w:rPr>
        <w:t>,</w:t>
      </w:r>
      <w:r>
        <w:rPr>
          <w:rFonts w:eastAsia="Times New Roman"/>
        </w:rPr>
        <w:t xml:space="preserve"> net neutrality protections).</w:t>
      </w:r>
    </w:p>
    <w:p w14:paraId="4AFDDCF0" w14:textId="77777777" w:rsidR="00286593" w:rsidRPr="00200C13" w:rsidRDefault="00286593" w:rsidP="00286593">
      <w:pPr>
        <w:pStyle w:val="ListParagraph"/>
        <w:overflowPunct/>
        <w:autoSpaceDE/>
        <w:autoSpaceDN/>
        <w:adjustRightInd/>
        <w:spacing w:before="0" w:after="0"/>
        <w:ind w:left="1440"/>
        <w:jc w:val="left"/>
        <w:textAlignment w:val="auto"/>
        <w:rPr>
          <w:rFonts w:eastAsia="Times New Roman"/>
          <w:b/>
        </w:rPr>
      </w:pPr>
    </w:p>
    <w:p w14:paraId="24AE0365" w14:textId="04B4E69C" w:rsidR="008F60AD" w:rsidRPr="00DD3197" w:rsidRDefault="008F60AD" w:rsidP="008F60AD">
      <w:pPr>
        <w:pStyle w:val="ListParagraph"/>
        <w:numPr>
          <w:ilvl w:val="0"/>
          <w:numId w:val="41"/>
        </w:numPr>
        <w:overflowPunct/>
        <w:autoSpaceDE/>
        <w:autoSpaceDN/>
        <w:adjustRightInd/>
        <w:spacing w:before="0" w:after="0"/>
        <w:jc w:val="left"/>
        <w:textAlignment w:val="auto"/>
      </w:pPr>
      <w:r>
        <w:t>Telecommunications operators should be able to rebalance their tariffs to reduce their dependence on revenue from voice and SMS.  Operators who have adopted data-centric tariff structures enjoy “</w:t>
      </w:r>
      <w:r w:rsidRPr="00F92136">
        <w:rPr>
          <w:rFonts w:eastAsia="Times New Roman"/>
        </w:rPr>
        <w:t>benefits such as reduced churn, increased net promoter scores, more stable in-bundle revenue streams, and the ability to link returns more directly to network investment”.</w:t>
      </w:r>
      <w:r>
        <w:rPr>
          <w:rStyle w:val="FootnoteReference"/>
          <w:rFonts w:eastAsia="Times New Roman"/>
        </w:rPr>
        <w:footnoteReference w:id="13"/>
      </w:r>
    </w:p>
    <w:p w14:paraId="1D5C7F98" w14:textId="77777777" w:rsidR="00DD3197" w:rsidRDefault="00DD3197" w:rsidP="00DD3197">
      <w:pPr>
        <w:pStyle w:val="ListParagraph"/>
      </w:pPr>
    </w:p>
    <w:p w14:paraId="5C9AE7EF" w14:textId="62C2619A" w:rsidR="00DD3197" w:rsidRDefault="00DD3197" w:rsidP="00DD3197">
      <w:pPr>
        <w:pStyle w:val="ListParagraph"/>
        <w:numPr>
          <w:ilvl w:val="0"/>
          <w:numId w:val="41"/>
        </w:numPr>
        <w:overflowPunct/>
        <w:autoSpaceDE/>
        <w:autoSpaceDN/>
        <w:adjustRightInd/>
        <w:spacing w:before="0" w:after="0"/>
        <w:jc w:val="left"/>
        <w:textAlignment w:val="auto"/>
      </w:pPr>
      <w:r>
        <w:lastRenderedPageBreak/>
        <w:t xml:space="preserve">Consider just one potential rule - connecting to emergency services. </w:t>
      </w:r>
      <w:r w:rsidR="004F5F2F">
        <w:t>While geolocation technologies are evolving, at the present time</w:t>
      </w:r>
      <w:r>
        <w:t xml:space="preserve"> the messaging service's ability to locate the user is less exact than the cellular location available to the telecom operators</w:t>
      </w:r>
      <w:r w:rsidR="004F5F2F">
        <w:t xml:space="preserve"> (and sometimes entirely non-existent).  Furthermore, e</w:t>
      </w:r>
      <w:r>
        <w:t>mergency services in various countries are unable to connect with the VOIP technology, so even if messaging would allow such a connection, and there would be a decent internet connection, the emergency service may not receive it correctly.  By suggesting to consumers that they can use messaging services to connect to emergency services, governments</w:t>
      </w:r>
      <w:r w:rsidR="004F5F2F">
        <w:t xml:space="preserve"> therefore</w:t>
      </w:r>
      <w:r>
        <w:t xml:space="preserve"> risk great harm  to users.</w:t>
      </w:r>
    </w:p>
    <w:p w14:paraId="3DC09B22" w14:textId="77777777" w:rsidR="00DD3197" w:rsidRDefault="00DD3197" w:rsidP="00DD3197">
      <w:pPr>
        <w:pStyle w:val="ListParagraph"/>
        <w:overflowPunct/>
        <w:autoSpaceDE/>
        <w:autoSpaceDN/>
        <w:adjustRightInd/>
        <w:spacing w:before="0" w:after="0"/>
        <w:ind w:left="1440"/>
        <w:jc w:val="left"/>
        <w:textAlignment w:val="auto"/>
      </w:pPr>
    </w:p>
    <w:p w14:paraId="210C42FE" w14:textId="51C16FC4" w:rsidR="00DD3197" w:rsidRDefault="00DD3197" w:rsidP="00DD3197">
      <w:pPr>
        <w:pStyle w:val="ListParagraph"/>
        <w:numPr>
          <w:ilvl w:val="0"/>
          <w:numId w:val="41"/>
        </w:numPr>
        <w:overflowPunct/>
        <w:autoSpaceDE/>
        <w:autoSpaceDN/>
        <w:adjustRightInd/>
        <w:spacing w:before="0" w:after="0"/>
        <w:jc w:val="left"/>
        <w:textAlignment w:val="auto"/>
      </w:pPr>
      <w:r>
        <w:t>Another inappropriate regulatory burden</w:t>
      </w:r>
      <w:r w:rsidR="00206E52">
        <w:t xml:space="preserve"> for OTTs</w:t>
      </w:r>
      <w:r>
        <w:t xml:space="preserve"> would be interoperability. Telephone operators obviously must connect calls from different operators. But while this may make sense in the telephone market, it makes no sense in an Internet messaging market where it takes a few keystrokes to download a new, free messaging app. These are not  “any-to</w:t>
      </w:r>
      <w:r w:rsidR="004F5F2F">
        <w:t>-</w:t>
      </w:r>
      <w:r>
        <w:t>any” service</w:t>
      </w:r>
      <w:r w:rsidR="00E8680C">
        <w:t>s</w:t>
      </w:r>
      <w:r>
        <w:t xml:space="preserve"> and users enjoy being members of a closed community. This does not prevent them from being members of several other communities (e.g. WhatsApp, Snapchat, Instagram etc.) according to</w:t>
      </w:r>
      <w:r w:rsidR="00E8680C">
        <w:t>, for example,</w:t>
      </w:r>
      <w:r>
        <w:t xml:space="preserve"> their age and interests.</w:t>
      </w:r>
    </w:p>
    <w:p w14:paraId="6E72C35E" w14:textId="77777777" w:rsidR="00DD3197" w:rsidRDefault="00DD3197" w:rsidP="00DD3197">
      <w:pPr>
        <w:pStyle w:val="ListParagraph"/>
        <w:overflowPunct/>
        <w:autoSpaceDE/>
        <w:autoSpaceDN/>
        <w:adjustRightInd/>
        <w:spacing w:before="0" w:after="0"/>
        <w:ind w:left="1440"/>
        <w:jc w:val="left"/>
        <w:textAlignment w:val="auto"/>
      </w:pPr>
    </w:p>
    <w:p w14:paraId="2AFFA24D" w14:textId="1F5D0F2C" w:rsidR="00DD3197" w:rsidRPr="00944927" w:rsidRDefault="00DD3197" w:rsidP="00DD3197">
      <w:pPr>
        <w:pStyle w:val="ListParagraph"/>
        <w:numPr>
          <w:ilvl w:val="0"/>
          <w:numId w:val="41"/>
        </w:numPr>
        <w:overflowPunct/>
        <w:autoSpaceDE/>
        <w:autoSpaceDN/>
        <w:adjustRightInd/>
        <w:spacing w:before="0" w:after="0"/>
        <w:jc w:val="left"/>
        <w:textAlignment w:val="auto"/>
      </w:pPr>
      <w:r>
        <w:t xml:space="preserve">If OTT players are forced to abide by inappropriate telco rules, this would require such companies to establish a whole new infrastructure and ultimately change </w:t>
      </w:r>
      <w:r w:rsidR="004F5F2F">
        <w:t>aspects</w:t>
      </w:r>
      <w:r>
        <w:t xml:space="preserve"> of </w:t>
      </w:r>
      <w:r w:rsidR="004F5F2F">
        <w:t xml:space="preserve">their </w:t>
      </w:r>
      <w:r>
        <w:t>business</w:t>
      </w:r>
      <w:r w:rsidR="004F5F2F">
        <w:t>, such as low cost and quick innovation, that directly benefit consumers</w:t>
      </w:r>
      <w:r>
        <w:t xml:space="preserve">. </w:t>
      </w:r>
      <w:r w:rsidR="00356285">
        <w:t xml:space="preserve"> </w:t>
      </w:r>
      <w:r>
        <w:t>It w</w:t>
      </w:r>
      <w:r w:rsidR="00B71613">
        <w:t>ould also</w:t>
      </w:r>
      <w:r>
        <w:t xml:space="preserve"> impose constraints requiring additional investments on a player that does not have unlimited resources. This could possibly lead it to revise its services offering and therefore reduce the service offer available to consumers.</w:t>
      </w:r>
    </w:p>
    <w:p w14:paraId="6835FA12" w14:textId="79754C84" w:rsidR="00944927" w:rsidRDefault="00944927" w:rsidP="00944927">
      <w:pPr>
        <w:overflowPunct/>
        <w:autoSpaceDE/>
        <w:autoSpaceDN/>
        <w:adjustRightInd/>
        <w:spacing w:before="0" w:after="0"/>
        <w:jc w:val="left"/>
        <w:textAlignment w:val="auto"/>
      </w:pPr>
    </w:p>
    <w:p w14:paraId="00CECDEB" w14:textId="77777777" w:rsidR="00944927" w:rsidRDefault="00944927" w:rsidP="00944927">
      <w:pPr>
        <w:overflowPunct/>
        <w:autoSpaceDE/>
        <w:autoSpaceDN/>
        <w:adjustRightInd/>
        <w:spacing w:before="0" w:after="0"/>
        <w:jc w:val="left"/>
        <w:textAlignment w:val="auto"/>
      </w:pPr>
      <w:r w:rsidRPr="00944927">
        <w:rPr>
          <w:b/>
        </w:rPr>
        <w:t xml:space="preserve">Regulating OTTs is effectively regulating the entire Internet - which will hamper digital growth and innovation </w:t>
      </w:r>
      <w:r>
        <w:t xml:space="preserve"> </w:t>
      </w:r>
    </w:p>
    <w:p w14:paraId="4DA62438" w14:textId="77777777" w:rsidR="00944927" w:rsidRDefault="00944927" w:rsidP="00944927">
      <w:pPr>
        <w:overflowPunct/>
        <w:autoSpaceDE/>
        <w:autoSpaceDN/>
        <w:adjustRightInd/>
        <w:spacing w:before="0" w:after="0"/>
        <w:jc w:val="left"/>
        <w:textAlignment w:val="auto"/>
      </w:pPr>
    </w:p>
    <w:p w14:paraId="2E398F5C" w14:textId="175F3FFA" w:rsidR="00944927" w:rsidRDefault="00944927" w:rsidP="00944927">
      <w:pPr>
        <w:overflowPunct/>
        <w:autoSpaceDE/>
        <w:autoSpaceDN/>
        <w:adjustRightInd/>
        <w:spacing w:before="0" w:after="0"/>
        <w:jc w:val="left"/>
        <w:textAlignment w:val="auto"/>
      </w:pPr>
      <w:r>
        <w:t>Regulating OTTs</w:t>
      </w:r>
      <w:r w:rsidR="00616AE4">
        <w:t xml:space="preserve"> (if broadly defined)</w:t>
      </w:r>
      <w:r>
        <w:t xml:space="preserve"> is essentially equivalent to regulating the </w:t>
      </w:r>
      <w:r w:rsidR="004F5F2F">
        <w:t xml:space="preserve">entire </w:t>
      </w:r>
      <w:r>
        <w:t xml:space="preserve">Internet, including the innovation that the Internet enables. The explosive growth of the Internet and services over the Internet has been due in large part to a light-touch regulatory treatment.   Innovators have used this open space to develop new services that have transformed society for the better.  </w:t>
      </w:r>
    </w:p>
    <w:p w14:paraId="3BD7A263" w14:textId="77777777" w:rsidR="004F5F2F" w:rsidRDefault="004F5F2F" w:rsidP="00944927">
      <w:pPr>
        <w:overflowPunct/>
        <w:autoSpaceDE/>
        <w:autoSpaceDN/>
        <w:adjustRightInd/>
        <w:spacing w:before="0" w:after="0"/>
        <w:jc w:val="left"/>
        <w:textAlignment w:val="auto"/>
      </w:pPr>
    </w:p>
    <w:p w14:paraId="713D8660" w14:textId="591B15A1" w:rsidR="00944927" w:rsidRDefault="00944927" w:rsidP="00944927">
      <w:pPr>
        <w:overflowPunct/>
        <w:autoSpaceDE/>
        <w:autoSpaceDN/>
        <w:adjustRightInd/>
        <w:spacing w:before="0" w:after="0"/>
        <w:jc w:val="left"/>
        <w:textAlignment w:val="auto"/>
      </w:pPr>
      <w:r>
        <w:t xml:space="preserve">The ​distinction between different types of “OTTs” is not always clear, when it comes to the features and capabilities of an app. Communication features, for example, can be embedded and ancillary to an app that primarily performs a non-communications function in a wholly different sector. This highlights the dynamic nature of the app economy as an engine of innovative solutions for consumers, and the danger of attempting to squeeze apps into regulatory categories established for traditional communications services. </w:t>
      </w:r>
    </w:p>
    <w:p w14:paraId="6058F56D" w14:textId="77777777" w:rsidR="00944927" w:rsidRDefault="00944927" w:rsidP="00944927">
      <w:pPr>
        <w:overflowPunct/>
        <w:autoSpaceDE/>
        <w:autoSpaceDN/>
        <w:adjustRightInd/>
        <w:spacing w:before="0" w:after="0"/>
        <w:jc w:val="left"/>
        <w:textAlignment w:val="auto"/>
      </w:pPr>
      <w:r>
        <w:t xml:space="preserve"> </w:t>
      </w:r>
    </w:p>
    <w:p w14:paraId="4FCC4DCF" w14:textId="0A28BB98" w:rsidR="00944927" w:rsidRDefault="00944927" w:rsidP="00944927">
      <w:pPr>
        <w:overflowPunct/>
        <w:autoSpaceDE/>
        <w:autoSpaceDN/>
        <w:adjustRightInd/>
        <w:spacing w:before="0" w:after="0"/>
        <w:jc w:val="left"/>
        <w:textAlignment w:val="auto"/>
      </w:pPr>
      <w:r>
        <w:t xml:space="preserve">Because OTTs can encompass such a broad </w:t>
      </w:r>
      <w:r w:rsidR="00206E52">
        <w:t xml:space="preserve">array of services, treating OTTs </w:t>
      </w:r>
      <w:r>
        <w:t xml:space="preserve">like traditional forms of telecommunications services is ultimately harmful to an economy and its citizens. OTTs should be able to operate across national and international networks, and efforts to block or charge consumers different data rates just for choosing different types of apps and services should be prohibited. </w:t>
      </w:r>
    </w:p>
    <w:p w14:paraId="6BD1D7A9" w14:textId="77777777" w:rsidR="00944927" w:rsidRDefault="00944927" w:rsidP="00944927">
      <w:pPr>
        <w:overflowPunct/>
        <w:autoSpaceDE/>
        <w:autoSpaceDN/>
        <w:adjustRightInd/>
        <w:spacing w:before="0" w:after="0"/>
        <w:jc w:val="left"/>
        <w:textAlignment w:val="auto"/>
      </w:pPr>
      <w:r>
        <w:t xml:space="preserve"> </w:t>
      </w:r>
    </w:p>
    <w:p w14:paraId="6C4B69F3" w14:textId="2DA8AFFB" w:rsidR="00944927" w:rsidRDefault="00206E52" w:rsidP="00944927">
      <w:pPr>
        <w:overflowPunct/>
        <w:autoSpaceDE/>
        <w:autoSpaceDN/>
        <w:adjustRightInd/>
        <w:spacing w:before="0" w:after="0"/>
        <w:jc w:val="left"/>
        <w:textAlignment w:val="auto"/>
      </w:pPr>
      <w:r>
        <w:t>In some cases, OTT applications</w:t>
      </w:r>
      <w:r w:rsidR="00944927">
        <w:t xml:space="preserve"> and tools on the Internet can introduce individual policy challenges, and governments need to respond to them as individual issues. For example, it is integral that all communications services to abide by basic data protection principles, and this includes services that run over the Internet. </w:t>
      </w:r>
      <w:r w:rsidR="00A107E1">
        <w:t>A</w:t>
      </w:r>
      <w:r w:rsidR="00944927">
        <w:t>ny policy changes need to be carefully considered so that they do not jeopardize the environment that enabled the growth of the Internet to begin with</w:t>
      </w:r>
      <w:r w:rsidR="00286593">
        <w:t>. That means supporting other</w:t>
      </w:r>
      <w:r w:rsidR="00286593">
        <w:rPr>
          <w:rStyle w:val="FootnoteReference"/>
        </w:rPr>
        <w:footnoteReference w:id="14"/>
      </w:r>
      <w:r w:rsidR="00944927">
        <w:t xml:space="preserve"> policies that keep the Internet open and free, retaining the capacity to foster innovation and economic growth.  </w:t>
      </w:r>
    </w:p>
    <w:p w14:paraId="242C7D59" w14:textId="77777777" w:rsidR="00944927" w:rsidRDefault="00944927" w:rsidP="00944927">
      <w:pPr>
        <w:overflowPunct/>
        <w:autoSpaceDE/>
        <w:autoSpaceDN/>
        <w:adjustRightInd/>
        <w:spacing w:before="0" w:after="0"/>
        <w:jc w:val="left"/>
        <w:textAlignment w:val="auto"/>
      </w:pPr>
      <w:r>
        <w:t xml:space="preserve"> </w:t>
      </w:r>
    </w:p>
    <w:p w14:paraId="59D192BA" w14:textId="78BBD854" w:rsidR="00944927" w:rsidRDefault="00944927" w:rsidP="00944927">
      <w:pPr>
        <w:overflowPunct/>
        <w:autoSpaceDE/>
        <w:autoSpaceDN/>
        <w:adjustRightInd/>
        <w:spacing w:before="0" w:after="0"/>
        <w:jc w:val="left"/>
        <w:textAlignment w:val="auto"/>
      </w:pPr>
      <w:r>
        <w:t>Finally, in most cases, there are already extant offline solutions that can be applied to the online world (</w:t>
      </w:r>
      <w:r w:rsidR="003F41F0">
        <w:t>e.g.</w:t>
      </w:r>
      <w:r>
        <w:t xml:space="preserve"> privacy).  </w:t>
      </w:r>
    </w:p>
    <w:p w14:paraId="3495B697" w14:textId="767A706B" w:rsidR="00286593" w:rsidRDefault="00286593" w:rsidP="00944927">
      <w:pPr>
        <w:overflowPunct/>
        <w:autoSpaceDE/>
        <w:autoSpaceDN/>
        <w:adjustRightInd/>
        <w:spacing w:before="0" w:after="0"/>
        <w:jc w:val="left"/>
        <w:textAlignment w:val="auto"/>
      </w:pPr>
    </w:p>
    <w:p w14:paraId="5237ADAF" w14:textId="04ABBB15" w:rsidR="00286593" w:rsidRPr="00286593" w:rsidRDefault="00286593" w:rsidP="00944927">
      <w:pPr>
        <w:overflowPunct/>
        <w:autoSpaceDE/>
        <w:autoSpaceDN/>
        <w:adjustRightInd/>
        <w:spacing w:before="0" w:after="0"/>
        <w:jc w:val="left"/>
        <w:textAlignment w:val="auto"/>
        <w:rPr>
          <w:b/>
        </w:rPr>
      </w:pPr>
      <w:r w:rsidRPr="00286593">
        <w:rPr>
          <w:b/>
        </w:rPr>
        <w:t>Level-playing field?</w:t>
      </w:r>
    </w:p>
    <w:p w14:paraId="24056AE7" w14:textId="0FE0693E" w:rsidR="00944927" w:rsidRDefault="00944927" w:rsidP="00944927">
      <w:pPr>
        <w:overflowPunct/>
        <w:autoSpaceDE/>
        <w:autoSpaceDN/>
        <w:adjustRightInd/>
        <w:spacing w:before="0" w:after="0"/>
        <w:jc w:val="left"/>
        <w:textAlignment w:val="auto"/>
      </w:pPr>
    </w:p>
    <w:p w14:paraId="21A04A72" w14:textId="4F8B808B" w:rsidR="00B447A3" w:rsidRDefault="00BF46CB" w:rsidP="00286593">
      <w:pPr>
        <w:overflowPunct/>
        <w:autoSpaceDE/>
        <w:autoSpaceDN/>
        <w:adjustRightInd/>
        <w:spacing w:before="0" w:after="0"/>
        <w:jc w:val="left"/>
        <w:textAlignment w:val="auto"/>
      </w:pPr>
      <w:r>
        <w:lastRenderedPageBreak/>
        <w:t>T</w:t>
      </w:r>
      <w:r w:rsidR="00286593">
        <w:t>here is no evidence that OTTs are harming telco revenues</w:t>
      </w:r>
      <w:r>
        <w:t xml:space="preserve"> overall</w:t>
      </w:r>
      <w:r w:rsidR="00286593">
        <w:t xml:space="preserve"> - quite the reverse. A number of different researchers have shown that the introduction of VOIP and instant messaging have not harmed traditional </w:t>
      </w:r>
      <w:proofErr w:type="spellStart"/>
      <w:r>
        <w:t>t</w:t>
      </w:r>
      <w:r w:rsidR="003F41F0">
        <w:t>elcos</w:t>
      </w:r>
      <w:proofErr w:type="spellEnd"/>
      <w:r w:rsidR="00286593">
        <w:t xml:space="preserve"> and associated overall revenues. In fact, there appears to be a net benefit: losses to SMS revenues have been balanced by overall Increases in revenue from data-tariffs - dri</w:t>
      </w:r>
      <w:r w:rsidR="00206E52">
        <w:t>ven by consumer demand for OTTs</w:t>
      </w:r>
      <w:r w:rsidR="00286593">
        <w:t xml:space="preserve">. </w:t>
      </w:r>
      <w:r w:rsidR="00B447A3">
        <w:t>Consumer demand is also driving Internet traffic, which has continued to grow in recent years, despite that telecoms operator capital expenditure has remained relatively flat as a percentage of revenue: a trend that is expected to continue.</w:t>
      </w:r>
      <w:r w:rsidR="00B447A3">
        <w:rPr>
          <w:rStyle w:val="FootnoteReference"/>
        </w:rPr>
        <w:footnoteReference w:id="15"/>
      </w:r>
    </w:p>
    <w:p w14:paraId="167ABA61" w14:textId="77777777" w:rsidR="00286593" w:rsidRDefault="00286593" w:rsidP="00286593">
      <w:pPr>
        <w:overflowPunct/>
        <w:autoSpaceDE/>
        <w:autoSpaceDN/>
        <w:adjustRightInd/>
        <w:spacing w:before="0" w:after="0"/>
        <w:jc w:val="left"/>
        <w:textAlignment w:val="auto"/>
      </w:pPr>
      <w:r>
        <w:t xml:space="preserve"> </w:t>
      </w:r>
    </w:p>
    <w:p w14:paraId="7D4CD11C" w14:textId="41B6C4D2" w:rsidR="00286593" w:rsidRDefault="00286593" w:rsidP="00286593">
      <w:pPr>
        <w:overflowPunct/>
        <w:autoSpaceDE/>
        <w:autoSpaceDN/>
        <w:adjustRightInd/>
        <w:spacing w:before="0" w:after="0"/>
        <w:jc w:val="left"/>
        <w:textAlignment w:val="auto"/>
      </w:pPr>
      <w:r>
        <w:t xml:space="preserve">OTTs and other content providers invest and work closely with broadband providers and telecoms operators to deliver services efficiently and cost-effectively. Globally, Internet content providers invest approximately USD $35 billion annually (growing by 13% YOY) on data </w:t>
      </w:r>
      <w:proofErr w:type="spellStart"/>
      <w:r>
        <w:t>centers</w:t>
      </w:r>
      <w:proofErr w:type="spellEnd"/>
      <w:r>
        <w:t>, content distribution networks (CDNs), as well as buying or leasing capacity to move content across the Internet.</w:t>
      </w:r>
      <w:r>
        <w:rPr>
          <w:rStyle w:val="FootnoteReference"/>
        </w:rPr>
        <w:footnoteReference w:id="16"/>
      </w:r>
    </w:p>
    <w:p w14:paraId="06FF1005" w14:textId="77777777" w:rsidR="00286593" w:rsidRDefault="00286593" w:rsidP="00286593">
      <w:pPr>
        <w:overflowPunct/>
        <w:autoSpaceDE/>
        <w:autoSpaceDN/>
        <w:adjustRightInd/>
        <w:spacing w:before="0" w:after="0"/>
        <w:jc w:val="left"/>
        <w:textAlignment w:val="auto"/>
      </w:pPr>
      <w:r>
        <w:t xml:space="preserve"> </w:t>
      </w:r>
    </w:p>
    <w:p w14:paraId="2F32294B" w14:textId="5650CF3D" w:rsidR="00286593" w:rsidRDefault="00286593" w:rsidP="00286593">
      <w:pPr>
        <w:overflowPunct/>
        <w:autoSpaceDE/>
        <w:autoSpaceDN/>
        <w:adjustRightInd/>
        <w:spacing w:before="0" w:after="0"/>
        <w:jc w:val="left"/>
        <w:textAlignment w:val="auto"/>
      </w:pPr>
      <w:r>
        <w:t xml:space="preserve">The Internet has brought innovation that has benefited consumers deeply. The solution is not to erode the consumer benefits from Internet companies but to ensure that telecommunications </w:t>
      </w:r>
      <w:r w:rsidR="00BF46CB">
        <w:t xml:space="preserve">companies and other ISPs </w:t>
      </w:r>
      <w:r>
        <w:t>can compete and partner to also avail of these benefits. Outdated regulatory structures should be reviewed, removed, lowered or lessened so that telecoms operators can gain from the growth the Internet brings.</w:t>
      </w:r>
    </w:p>
    <w:p w14:paraId="7C8856C1" w14:textId="77777777" w:rsidR="00944927" w:rsidRDefault="00944927" w:rsidP="00944927">
      <w:pPr>
        <w:overflowPunct/>
        <w:autoSpaceDE/>
        <w:autoSpaceDN/>
        <w:adjustRightInd/>
        <w:spacing w:before="0" w:after="0"/>
        <w:jc w:val="left"/>
        <w:textAlignment w:val="auto"/>
      </w:pPr>
    </w:p>
    <w:p w14:paraId="7D2732B3" w14:textId="1A0252D0" w:rsidR="00E8404E" w:rsidRDefault="00E8404E" w:rsidP="00944927">
      <w:pPr>
        <w:pStyle w:val="BodyText1"/>
        <w:numPr>
          <w:ilvl w:val="0"/>
          <w:numId w:val="53"/>
        </w:numPr>
        <w:rPr>
          <w:b/>
        </w:rPr>
      </w:pPr>
      <w:r>
        <w:rPr>
          <w:b/>
        </w:rPr>
        <w:t>How do the OTT players and other stakeholders offering app services contribute in aspects related to security, safety and privacy of the consumer?</w:t>
      </w:r>
    </w:p>
    <w:p w14:paraId="1CA6E9F8" w14:textId="1AC134D6" w:rsidR="008E5306" w:rsidRDefault="005E50D9" w:rsidP="008E5306">
      <w:pPr>
        <w:pStyle w:val="ListParagraph"/>
        <w:numPr>
          <w:ilvl w:val="0"/>
          <w:numId w:val="44"/>
        </w:numPr>
      </w:pPr>
      <w:r>
        <w:t xml:space="preserve">Consumer security, safety, and privacy cannot be guaranteed by any one party.  </w:t>
      </w:r>
      <w:proofErr w:type="spellStart"/>
      <w:r>
        <w:t>Multistakeholder</w:t>
      </w:r>
      <w:proofErr w:type="spellEnd"/>
      <w:r>
        <w:t xml:space="preserve"> and multiparty cooperation between </w:t>
      </w:r>
      <w:r w:rsidR="00DA215B">
        <w:t>application providers</w:t>
      </w:r>
      <w:r>
        <w:t xml:space="preserve">, telecommunications service providers, governments, </w:t>
      </w:r>
      <w:r w:rsidR="00DA215B">
        <w:t xml:space="preserve">the technical community </w:t>
      </w:r>
      <w:r>
        <w:t xml:space="preserve">and civil society organizations </w:t>
      </w:r>
      <w:r w:rsidR="00DA215B">
        <w:t>is</w:t>
      </w:r>
      <w:r>
        <w:t xml:space="preserve"> critical to building confidence in the use of Internet services.</w:t>
      </w:r>
    </w:p>
    <w:p w14:paraId="711B3732" w14:textId="7751FE08" w:rsidR="00286593" w:rsidRDefault="00206E52" w:rsidP="00286593">
      <w:pPr>
        <w:pStyle w:val="ListParagraph"/>
        <w:numPr>
          <w:ilvl w:val="0"/>
          <w:numId w:val="44"/>
        </w:numPr>
      </w:pPr>
      <w:r>
        <w:t xml:space="preserve">OTT applications </w:t>
      </w:r>
      <w:r w:rsidR="00286593">
        <w:t xml:space="preserve">positively contribute to safety, privacy and security issues, greatly benefiting the consumer. OTTs provide many solutions in the privacy and security spaces, giving consumers peace of mind and increased independence. In the app ecosystem, OTT providers are incentivized to protect the privacy, security and safety of the consumer, considering that app usage is based upon trust from users.  </w:t>
      </w:r>
    </w:p>
    <w:p w14:paraId="6A4B478D" w14:textId="1BA98E5F" w:rsidR="00286593" w:rsidRDefault="00286593" w:rsidP="00286593">
      <w:pPr>
        <w:pStyle w:val="ListParagraph"/>
        <w:numPr>
          <w:ilvl w:val="0"/>
          <w:numId w:val="44"/>
        </w:numPr>
      </w:pPr>
      <w:r>
        <w:t>It is important to note that privacy is an intricate national issue that differs in each country and jurisdiction and is dependent on a number of factors including social and cultural norms. However,</w:t>
      </w:r>
      <w:r w:rsidR="00FD264D">
        <w:t xml:space="preserve"> unlike the situation of network-focused regulations that do not fit OTT models,</w:t>
      </w:r>
      <w:r>
        <w:t xml:space="preserve"> OTTs do not necessarily face special </w:t>
      </w:r>
      <w:r w:rsidR="00FD264D">
        <w:t xml:space="preserve">privacy </w:t>
      </w:r>
      <w:r>
        <w:t xml:space="preserve">challenges that other players in the Internet, media, and communications ecosystem do not as well. Principles should apply to all holders of user data, not only to OTT (for e.g., health, financial, education and government sectors).   </w:t>
      </w:r>
    </w:p>
    <w:p w14:paraId="6504E8C0" w14:textId="30FE51A8" w:rsidR="00286593" w:rsidRDefault="00286593" w:rsidP="00286593">
      <w:pPr>
        <w:pStyle w:val="ListParagraph"/>
        <w:numPr>
          <w:ilvl w:val="0"/>
          <w:numId w:val="44"/>
        </w:numPr>
      </w:pPr>
      <w:r>
        <w:t>In fact, platforms and services over the Internet contribute to a more robust system of security online.  An open, robust, and competitive online environment fosters the development of new products and services to market that support secure solutions and empower users.  For example, services like personal password managers empower users to securely manage the constellation of different online accounts, without resulting to passwords that are easier to remember</w:t>
      </w:r>
      <w:bookmarkStart w:id="0" w:name="_GoBack"/>
      <w:bookmarkEnd w:id="0"/>
      <w:r>
        <w:t xml:space="preserve"> but insecure. </w:t>
      </w:r>
    </w:p>
    <w:p w14:paraId="0114B2D0" w14:textId="73CEC0B8" w:rsidR="00286593" w:rsidRDefault="00286593" w:rsidP="00286593">
      <w:pPr>
        <w:pStyle w:val="ListParagraph"/>
        <w:numPr>
          <w:ilvl w:val="0"/>
          <w:numId w:val="44"/>
        </w:numPr>
      </w:pPr>
      <w:r>
        <w:t xml:space="preserve">In most countries, </w:t>
      </w:r>
      <w:r w:rsidR="00FD264D">
        <w:t xml:space="preserve">data </w:t>
      </w:r>
      <w:r>
        <w:t xml:space="preserve">security concerns with </w:t>
      </w:r>
      <w:r w:rsidR="00206E52">
        <w:t xml:space="preserve">regard to OTTs </w:t>
      </w:r>
      <w:r>
        <w:t>are adequately addressed by existing laws and regulations, such as consumer protection laws, financial regulations, and competition laws that cater to different aspects of safeguarding consumer interest. Typically, privacy legislation relates to all matters of privacy, whether in the offline or online worlds. It is important to note there are already many national and international bodies focused on privacy and consumer protection.</w:t>
      </w:r>
    </w:p>
    <w:p w14:paraId="0E55950F" w14:textId="792D5761" w:rsidR="00DD3197" w:rsidRDefault="00DD3197" w:rsidP="00DD3197">
      <w:pPr>
        <w:pStyle w:val="ListParagraph"/>
        <w:numPr>
          <w:ilvl w:val="0"/>
          <w:numId w:val="44"/>
        </w:numPr>
      </w:pPr>
      <w:r>
        <w:t xml:space="preserve">Many OTT players offering app messaging services applies end-to-end encryption to their chat services in order to protect user privacy, security and safety. End-to-end encryption means that data (e.g. messages, photos, videos, voice and video calls) is encrypted or scrambled the moment it is sent from one device until it reaches the intended recipient. End-to-end encryption means that data (all types of messages, photos, videos, voice and video calls) is encrypted (or scrambled) the moment it is sent </w:t>
      </w:r>
      <w:r>
        <w:lastRenderedPageBreak/>
        <w:t>from one device until it reaches the intended recipient. This data can't be picked up the middle by anyone else.</w:t>
      </w:r>
    </w:p>
    <w:p w14:paraId="53FD07E4" w14:textId="549A94B7" w:rsidR="00DD3197" w:rsidRDefault="00DD3197" w:rsidP="00DD3197">
      <w:pPr>
        <w:pStyle w:val="ListParagraph"/>
        <w:numPr>
          <w:ilvl w:val="0"/>
          <w:numId w:val="44"/>
        </w:numPr>
      </w:pPr>
      <w:r>
        <w:t>Some countries indeed are strengthening censorship over users of OTT</w:t>
      </w:r>
      <w:r w:rsidR="00206E52">
        <w:t>s</w:t>
      </w:r>
      <w:r>
        <w:t>, which would be an invasion of privacy of users. In many regions, too, demands to store data locally represent a real obstacle. This forced data localization leads to additional state surveillance, industrial protectionism and a fragmented web – as well as driving up OTT costs, making them often uneconomical.</w:t>
      </w:r>
    </w:p>
    <w:p w14:paraId="4A6A8ABD" w14:textId="77777777" w:rsidR="00E8404E" w:rsidRDefault="00E8404E" w:rsidP="00944927">
      <w:pPr>
        <w:pStyle w:val="BodyText1"/>
        <w:numPr>
          <w:ilvl w:val="0"/>
          <w:numId w:val="53"/>
        </w:numPr>
        <w:rPr>
          <w:b/>
        </w:rPr>
      </w:pPr>
      <w:r>
        <w:rPr>
          <w:b/>
        </w:rPr>
        <w:t>What approaches might be considered regarding OTT to help the creation of environment in which all stakeholders are able to prosper and thrive?</w:t>
      </w:r>
    </w:p>
    <w:p w14:paraId="1EC3F197" w14:textId="5544188C" w:rsidR="00C84F43" w:rsidRDefault="002D1B6B" w:rsidP="00A4363F">
      <w:pPr>
        <w:pStyle w:val="BodyText1"/>
        <w:numPr>
          <w:ilvl w:val="0"/>
          <w:numId w:val="43"/>
        </w:numPr>
      </w:pPr>
      <w:r>
        <w:rPr>
          <w:b/>
        </w:rPr>
        <w:t>OTT</w:t>
      </w:r>
      <w:r w:rsidR="00DA215B">
        <w:t xml:space="preserve"> application providers</w:t>
      </w:r>
      <w:r w:rsidR="00A4363F">
        <w:t xml:space="preserve"> and traditional </w:t>
      </w:r>
      <w:proofErr w:type="spellStart"/>
      <w:r w:rsidR="00A4363F">
        <w:t>telcos</w:t>
      </w:r>
      <w:proofErr w:type="spellEnd"/>
      <w:r w:rsidR="00A4363F">
        <w:t xml:space="preserve"> have a symbiotic, mutually-reinforcing relationship. </w:t>
      </w:r>
      <w:r w:rsidR="00C84F43">
        <w:t xml:space="preserve"> </w:t>
      </w:r>
      <w:r w:rsidR="00DA215B">
        <w:t xml:space="preserve">Rich applications </w:t>
      </w:r>
      <w:r w:rsidR="00C84F43">
        <w:t xml:space="preserve">drive a huge demand for data </w:t>
      </w:r>
      <w:r w:rsidR="00DA215B">
        <w:t>capacity provided by</w:t>
      </w:r>
      <w:r w:rsidR="00C84F43">
        <w:t xml:space="preserve"> traditional telco providers' </w:t>
      </w:r>
      <w:r w:rsidR="00FD264D">
        <w:t xml:space="preserve">and other ISPs’ </w:t>
      </w:r>
      <w:r w:rsidR="00C84F43">
        <w:t xml:space="preserve">infrastructure whilst the </w:t>
      </w:r>
      <w:r w:rsidR="00FD264D">
        <w:t>ISP</w:t>
      </w:r>
      <w:r w:rsidR="00C84F43">
        <w:t xml:space="preserve"> infrastructure enables end-users to access innovative online services and content. It is not a </w:t>
      </w:r>
      <w:r w:rsidR="008E5306">
        <w:t>"</w:t>
      </w:r>
      <w:r w:rsidR="00C84F43" w:rsidRPr="008E5306">
        <w:rPr>
          <w:i/>
        </w:rPr>
        <w:t>zero sum</w:t>
      </w:r>
      <w:r w:rsidR="008E5306">
        <w:t>"</w:t>
      </w:r>
      <w:r w:rsidR="00C84F43">
        <w:t xml:space="preserve"> game. Both the </w:t>
      </w:r>
      <w:r w:rsidR="00FD264D">
        <w:t>broadband</w:t>
      </w:r>
      <w:r w:rsidR="00C84F43">
        <w:t xml:space="preserve"> providers and </w:t>
      </w:r>
      <w:r w:rsidR="005C4852">
        <w:t>OTT</w:t>
      </w:r>
      <w:r w:rsidR="00DA215B">
        <w:t xml:space="preserve"> application</w:t>
      </w:r>
      <w:r w:rsidR="005C4852">
        <w:t xml:space="preserve"> </w:t>
      </w:r>
      <w:r w:rsidR="00C84F43">
        <w:t xml:space="preserve">providers are able to benefit from and support the growth of the other's business model. And </w:t>
      </w:r>
      <w:r w:rsidR="005C4852">
        <w:t>OTT</w:t>
      </w:r>
      <w:r w:rsidR="00DA215B">
        <w:t xml:space="preserve"> applications</w:t>
      </w:r>
      <w:r w:rsidR="005C4852">
        <w:t xml:space="preserve"> </w:t>
      </w:r>
      <w:r w:rsidR="00C84F43">
        <w:t xml:space="preserve">contribute to this rich ecosystem. </w:t>
      </w:r>
      <w:r w:rsidR="00130E67">
        <w:t xml:space="preserve"> Forward-looking operators and providers recognise that they benefit from RIAs</w:t>
      </w:r>
      <w:r w:rsidR="008E5306">
        <w:t xml:space="preserve"> and have embraced this symbiotic relationship</w:t>
      </w:r>
      <w:r w:rsidR="009875CD">
        <w:t>.</w:t>
      </w:r>
    </w:p>
    <w:p w14:paraId="5E17FEB4" w14:textId="1F2C1D44" w:rsidR="00842E15" w:rsidRDefault="00842E15" w:rsidP="00A4363F">
      <w:pPr>
        <w:pStyle w:val="BodyText1"/>
        <w:numPr>
          <w:ilvl w:val="0"/>
          <w:numId w:val="43"/>
        </w:numPr>
      </w:pPr>
      <w:r>
        <w:t xml:space="preserve">A recent German study concluded that consumers who use online services and </w:t>
      </w:r>
      <w:r w:rsidR="002D1B6B">
        <w:t>OTT</w:t>
      </w:r>
      <w:r w:rsidR="00DA215B">
        <w:t xml:space="preserve"> applications</w:t>
      </w:r>
      <w:r>
        <w:t xml:space="preserve"> are more likely to have purchased new mobile plans with more high-speed data allowances within the last 2 years and that the plans purchased are more likely to be pay monthly rather than pay-as-you-go</w:t>
      </w:r>
      <w:r>
        <w:rPr>
          <w:rStyle w:val="FootnoteReference"/>
        </w:rPr>
        <w:footnoteReference w:id="17"/>
      </w:r>
      <w:r>
        <w:t>.</w:t>
      </w:r>
      <w:r w:rsidR="00711C4F">
        <w:t xml:space="preserve"> The study concludes that as monthly plans include voice and SMS allowances the telco operator is unlikely to see a decline in revenue based on any further increase in use of online services / </w:t>
      </w:r>
      <w:r w:rsidR="002D1B6B">
        <w:t>OTT</w:t>
      </w:r>
      <w:r w:rsidR="00DA7A4A">
        <w:t xml:space="preserve"> applications</w:t>
      </w:r>
      <w:r w:rsidR="00711C4F">
        <w:t xml:space="preserve">. </w:t>
      </w:r>
    </w:p>
    <w:p w14:paraId="599318DB" w14:textId="54B31BFB" w:rsidR="00711C4F" w:rsidRDefault="009875CD" w:rsidP="00A4363F">
      <w:pPr>
        <w:pStyle w:val="BodyText1"/>
        <w:numPr>
          <w:ilvl w:val="0"/>
          <w:numId w:val="43"/>
        </w:numPr>
      </w:pPr>
      <w:r>
        <w:t>As providers</w:t>
      </w:r>
      <w:r w:rsidR="00711C4F">
        <w:t xml:space="preserve"> look forward to 2020 a new area of growth in the telecoms sector will be in the capability provided by 5G. 5G innovation will require investment from traditional telco providers </w:t>
      </w:r>
      <w:r w:rsidR="00A27DC5">
        <w:t xml:space="preserve">and other operators </w:t>
      </w:r>
      <w:r w:rsidR="00711C4F">
        <w:t xml:space="preserve">and the return on this investment will, in part, be driven by consumer demand for new innovative services. </w:t>
      </w:r>
    </w:p>
    <w:p w14:paraId="7B2D5EC0" w14:textId="721A50CA" w:rsidR="00711C4F" w:rsidRDefault="002D1B6B" w:rsidP="00711C4F">
      <w:pPr>
        <w:pStyle w:val="BodyText1"/>
        <w:numPr>
          <w:ilvl w:val="0"/>
          <w:numId w:val="43"/>
        </w:numPr>
      </w:pPr>
      <w:r>
        <w:t>OTT</w:t>
      </w:r>
      <w:r w:rsidR="00DA7A4A">
        <w:t xml:space="preserve"> applications</w:t>
      </w:r>
      <w:r w:rsidRPr="00711C4F">
        <w:t xml:space="preserve"> </w:t>
      </w:r>
      <w:r w:rsidR="00711C4F" w:rsidRPr="00711C4F">
        <w:t>have a large role to play in being able to drive the needed growth</w:t>
      </w:r>
      <w:r w:rsidR="008E5306">
        <w:t>,</w:t>
      </w:r>
      <w:r w:rsidR="00711C4F" w:rsidRPr="00711C4F">
        <w:t xml:space="preserve"> provided the regulator</w:t>
      </w:r>
      <w:r w:rsidR="008E5306">
        <w:t>y</w:t>
      </w:r>
      <w:r w:rsidR="00711C4F" w:rsidRPr="00711C4F">
        <w:t xml:space="preserve"> environment does not become a barrier to entry and further relying on the symbiotic relationship between traditional telco providers and RIA providers.</w:t>
      </w:r>
    </w:p>
    <w:p w14:paraId="1698D9BF" w14:textId="0978AAA8" w:rsidR="00842E15" w:rsidRDefault="00BA7488" w:rsidP="00A4363F">
      <w:pPr>
        <w:pStyle w:val="BodyText1"/>
        <w:numPr>
          <w:ilvl w:val="0"/>
          <w:numId w:val="43"/>
        </w:numPr>
      </w:pPr>
      <w:r>
        <w:t xml:space="preserve">It is incorrect to suggest that </w:t>
      </w:r>
      <w:r w:rsidR="002D1B6B">
        <w:t>OTT</w:t>
      </w:r>
      <w:r w:rsidR="00DA7A4A">
        <w:t xml:space="preserve"> application providers</w:t>
      </w:r>
      <w:r w:rsidR="002D1B6B">
        <w:t xml:space="preserve"> </w:t>
      </w:r>
      <w:r>
        <w:t xml:space="preserve">do not contribute to / invest in the infrastructure ecosystem. Whilst broadband and mobile network infrastructure is fundamental to the provision of </w:t>
      </w:r>
      <w:r w:rsidR="00DA7A4A">
        <w:t>rich applications</w:t>
      </w:r>
      <w:r>
        <w:t xml:space="preserve">, it is not the only infrastructure required. The development of new technologies to connect </w:t>
      </w:r>
      <w:r w:rsidR="00A27DC5">
        <w:t xml:space="preserve">distant population </w:t>
      </w:r>
      <w:proofErr w:type="spellStart"/>
      <w:r w:rsidR="00A27DC5">
        <w:t>centers</w:t>
      </w:r>
      <w:proofErr w:type="spellEnd"/>
      <w:r w:rsidR="00A27DC5">
        <w:t xml:space="preserve"> and </w:t>
      </w:r>
      <w:r>
        <w:t>hard to reach communities,</w:t>
      </w:r>
      <w:r w:rsidR="00A27DC5">
        <w:t xml:space="preserve"> and to </w:t>
      </w:r>
      <w:r>
        <w:t xml:space="preserve">provide content delivery networks and data </w:t>
      </w:r>
      <w:proofErr w:type="spellStart"/>
      <w:r>
        <w:t>centers</w:t>
      </w:r>
      <w:proofErr w:type="spellEnd"/>
      <w:r w:rsidR="00A27DC5">
        <w:t>,</w:t>
      </w:r>
      <w:r>
        <w:t xml:space="preserve"> are also important elements of the overall infrastructure required for </w:t>
      </w:r>
      <w:r w:rsidR="00A00AA3">
        <w:t>OTT</w:t>
      </w:r>
      <w:r w:rsidR="00DA7A4A">
        <w:t xml:space="preserve"> applications</w:t>
      </w:r>
      <w:r w:rsidR="00A00AA3">
        <w:t xml:space="preserve"> </w:t>
      </w:r>
      <w:r>
        <w:t>to operate efficiently</w:t>
      </w:r>
      <w:r w:rsidR="00A27DC5">
        <w:t xml:space="preserve"> before they reach last-mile networks</w:t>
      </w:r>
      <w:r>
        <w:t xml:space="preserve">. This </w:t>
      </w:r>
      <w:r w:rsidR="00A27DC5">
        <w:t xml:space="preserve">complementary </w:t>
      </w:r>
      <w:r>
        <w:t xml:space="preserve">infrastructure helps to relieve pressure from broadband and mobile networks by locating data nearer to the consumer, thus providing connectivity benefits both to traditional telco provider(s) and the end-user. </w:t>
      </w:r>
    </w:p>
    <w:p w14:paraId="3020AC44" w14:textId="0EB1B3FB" w:rsidR="00286593" w:rsidRDefault="00286593" w:rsidP="008736FF">
      <w:pPr>
        <w:pStyle w:val="BodyText1"/>
        <w:numPr>
          <w:ilvl w:val="0"/>
          <w:numId w:val="43"/>
        </w:numPr>
      </w:pPr>
      <w:r>
        <w:t xml:space="preserve">The goal of regulation should be the welfare of the end-user and consumer, not </w:t>
      </w:r>
      <w:r w:rsidR="00A27DC5">
        <w:t>protection of</w:t>
      </w:r>
      <w:r>
        <w:t xml:space="preserve"> specific business model</w:t>
      </w:r>
      <w:r w:rsidR="00A27DC5">
        <w:t xml:space="preserve">s </w:t>
      </w:r>
      <w:r w:rsidR="008736FF">
        <w:t>and/or delivery mechanisms</w:t>
      </w:r>
      <w:r>
        <w:t xml:space="preserve">.  Discussing ICT-based services, policy should focus on the consumer ​first, not the business models that deliver those services. Regulating specific types of services based solely on how they are delivered will fundamentally harm the consumer.  By arbitrarily putting barriers before some types of services but not others, consumers will face cost increases and have fewer choices of innovative solutions, while at the macroeconomic level decreases in investment, reduction in healthy competitiveness, </w:t>
      </w:r>
      <w:proofErr w:type="spellStart"/>
      <w:r w:rsidR="009870FA">
        <w:t>Need</w:t>
      </w:r>
      <w:r>
        <w:t>and</w:t>
      </w:r>
      <w:proofErr w:type="spellEnd"/>
      <w:r>
        <w:t xml:space="preserve"> a reduction in local content production.  </w:t>
      </w:r>
    </w:p>
    <w:p w14:paraId="172FD2BF" w14:textId="6C320362" w:rsidR="00286593" w:rsidRDefault="003F41F0" w:rsidP="005555F5">
      <w:pPr>
        <w:pStyle w:val="BodyText1"/>
        <w:numPr>
          <w:ilvl w:val="0"/>
          <w:numId w:val="43"/>
        </w:numPr>
      </w:pPr>
      <w:r>
        <w:lastRenderedPageBreak/>
        <w:t>Protect Innovation – t</w:t>
      </w:r>
      <w:r w:rsidR="00286593">
        <w:t xml:space="preserve">he Internet has been the most powerful platform for innovation in human history.  Continued innovation depends on an Internet that is fair, open, and friendly to experimentation.  Broad regulatory approaches that limit the abilities of entrepreneurs and innovators to develop new products and services online stifle and limit the benefits of the Internet. </w:t>
      </w:r>
    </w:p>
    <w:p w14:paraId="4F8A7292" w14:textId="0FAB6011" w:rsidR="00286593" w:rsidRDefault="00286593" w:rsidP="005555F5">
      <w:pPr>
        <w:pStyle w:val="BodyText1"/>
        <w:numPr>
          <w:ilvl w:val="0"/>
          <w:numId w:val="43"/>
        </w:numPr>
      </w:pPr>
      <w:r>
        <w:t>“Innovation” can seem abstract, but innovative OTTs mean jobs: Oxford Economics has identified that in Southeast Asia alone, increased mobile Internet penetration is forecast to create an extra $58.1 billion in GDP and one million new job opportunities by 2020. This is a new s</w:t>
      </w:r>
      <w:r w:rsidR="005555F5">
        <w:t>ector of the economy that was</w:t>
      </w:r>
      <w:r w:rsidR="005555F5">
        <w:rPr>
          <w:rStyle w:val="FootnoteReference"/>
        </w:rPr>
        <w:footnoteReference w:id="18"/>
      </w:r>
      <w:r>
        <w:t xml:space="preserve"> impossible to anticipate less than a decade earlier. </w:t>
      </w:r>
    </w:p>
    <w:p w14:paraId="59CC34CD" w14:textId="74397240" w:rsidR="00286593" w:rsidRDefault="00286593" w:rsidP="005555F5">
      <w:pPr>
        <w:pStyle w:val="BodyText1"/>
        <w:numPr>
          <w:ilvl w:val="0"/>
          <w:numId w:val="43"/>
        </w:numPr>
      </w:pPr>
      <w:r>
        <w:t>Regulating OTTs will push potential developers/companies</w:t>
      </w:r>
      <w:r w:rsidR="009870FA">
        <w:t>—especially new and small ones--</w:t>
      </w:r>
      <w:r>
        <w:t>out of the growing market, reduce competitiveness, reduce market effic</w:t>
      </w:r>
      <w:r w:rsidR="00206E52">
        <w:t>iencies created by OTTs,</w:t>
      </w:r>
      <w:r>
        <w:t xml:space="preserve"> and reduce consumer choice.  This hurts both the development of the market and ultimately the welfare of consumers.  </w:t>
      </w:r>
    </w:p>
    <w:p w14:paraId="02CD1BAB" w14:textId="12F3D6EA" w:rsidR="00286593" w:rsidRDefault="00286593" w:rsidP="005555F5">
      <w:pPr>
        <w:pStyle w:val="BodyText1"/>
        <w:numPr>
          <w:ilvl w:val="0"/>
          <w:numId w:val="43"/>
        </w:numPr>
      </w:pPr>
      <w:r>
        <w:t>Blanket regulation is not appropriate</w:t>
      </w:r>
      <w:r w:rsidR="00EE7778">
        <w:t>.</w:t>
      </w:r>
      <w:r>
        <w:t xml:space="preserve"> The idea of blanket regulations on OTTs and apps would be a regulatory impossibility </w:t>
      </w:r>
      <w:r w:rsidR="00EE7778">
        <w:t xml:space="preserve"> </w:t>
      </w:r>
      <w:r>
        <w:t xml:space="preserve">given the wide range of sectors that apps and OTTs impact. Consequently, such regulations would create a compliance burden and form barriers to entry for smaller local players, and affect market efficiency and competition.  </w:t>
      </w:r>
    </w:p>
    <w:p w14:paraId="6C4165EE" w14:textId="4B80BA73" w:rsidR="00286593" w:rsidRDefault="00286593" w:rsidP="005555F5">
      <w:pPr>
        <w:pStyle w:val="BodyText1"/>
        <w:numPr>
          <w:ilvl w:val="0"/>
          <w:numId w:val="43"/>
        </w:numPr>
      </w:pPr>
      <w:r>
        <w:t xml:space="preserve">The ideal balance sought would be between promoting innovation, fostering competition and securing investments in addition to protecting consumer interest. In a dynamic and complex sector, it is important to invest in </w:t>
      </w:r>
      <w:r w:rsidR="009870FA">
        <w:t xml:space="preserve">understanding the full causes and effects of </w:t>
      </w:r>
      <w:r>
        <w:t xml:space="preserve">industry changes before attempting to regulate </w:t>
      </w:r>
      <w:r w:rsidR="009870FA">
        <w:t>them</w:t>
      </w:r>
      <w:r>
        <w:t xml:space="preserve">. Further, regulation must be careful not to merely protect a status quo and should facilitate growth, promote innovation, improve market efficiency and ensure complete information access to consumers.  </w:t>
      </w:r>
    </w:p>
    <w:p w14:paraId="1273FA03" w14:textId="0443822F" w:rsidR="00286593" w:rsidRDefault="00286593" w:rsidP="005555F5">
      <w:pPr>
        <w:pStyle w:val="ListParagraph"/>
        <w:numPr>
          <w:ilvl w:val="0"/>
          <w:numId w:val="43"/>
        </w:numPr>
      </w:pPr>
      <w:r>
        <w:t>Informal tools are most appropriate. Informal tools of guidance such as non-legislative, or interpretive rules could be important in this rapidly developing sector. In contrast to rulemaking, informal tools are particularly useful in a rapidly changing industry such as online services. In such conditions of uncertainty, laws can often take too long to create to address rapidly changing issues. And while laws last a long time, they can become outdated quickly</w:t>
      </w:r>
      <w:r w:rsidR="005555F5">
        <w:t xml:space="preserve">, </w:t>
      </w:r>
      <w:r w:rsidR="005555F5" w:rsidRPr="005555F5">
        <w:t xml:space="preserve">and are likely to be designed without fully understanding the sector, potentially stifling innovation. Informal tools by regulatory agencies ensure flexibility and </w:t>
      </w:r>
      <w:r w:rsidR="009870FA">
        <w:t>are less likely to</w:t>
      </w:r>
      <w:r w:rsidR="005555F5" w:rsidRPr="005555F5">
        <w:t xml:space="preserve"> hinder innovation. S</w:t>
      </w:r>
      <w:r w:rsidR="005555F5">
        <w:t xml:space="preserve">ome potential examples are: regulatory sandboxes, </w:t>
      </w:r>
      <w:r w:rsidR="005555F5" w:rsidRPr="005555F5">
        <w:t>industry</w:t>
      </w:r>
      <w:r w:rsidR="005555F5">
        <w:t xml:space="preserve"> consultations and meetings, and voluntary codes of conduct. </w:t>
      </w:r>
    </w:p>
    <w:p w14:paraId="082C5619" w14:textId="77777777" w:rsidR="00E8404E" w:rsidRDefault="00E8404E" w:rsidP="00944927">
      <w:pPr>
        <w:pStyle w:val="BodyText1"/>
        <w:numPr>
          <w:ilvl w:val="0"/>
          <w:numId w:val="53"/>
        </w:numPr>
        <w:rPr>
          <w:b/>
        </w:rPr>
      </w:pPr>
      <w:r>
        <w:rPr>
          <w:b/>
        </w:rPr>
        <w:t>How can OTT players and operators best cooperate at local and international level? Are there model partnership agreements that could be developed?"</w:t>
      </w:r>
    </w:p>
    <w:p w14:paraId="276E7C89" w14:textId="0D05535E" w:rsidR="00F90FED" w:rsidRDefault="00F90FED" w:rsidP="000650C9">
      <w:pPr>
        <w:pStyle w:val="ListParagraph"/>
        <w:numPr>
          <w:ilvl w:val="0"/>
          <w:numId w:val="52"/>
        </w:numPr>
      </w:pPr>
      <w:r>
        <w:t xml:space="preserve">Authorities should permit interested parties to form </w:t>
      </w:r>
      <w:r w:rsidR="00DA7A4A">
        <w:t xml:space="preserve">pro-competitive </w:t>
      </w:r>
      <w:r>
        <w:t>partnerships to invest in, build, and operate infrastructure (e.g.</w:t>
      </w:r>
      <w:r w:rsidR="00A62498">
        <w:t>,</w:t>
      </w:r>
      <w:r w:rsidR="00DA7A4A">
        <w:t xml:space="preserve"> </w:t>
      </w:r>
      <w:r>
        <w:t>wholesale backhaul networks) without subjecting the partnership and its partners to traditional telecommunications regulatory requirements.</w:t>
      </w:r>
    </w:p>
    <w:p w14:paraId="50E10BB7" w14:textId="77777777" w:rsidR="00F90FED" w:rsidRPr="000650C9" w:rsidRDefault="00F90FED" w:rsidP="000650C9">
      <w:pPr>
        <w:pStyle w:val="ListParagraph"/>
        <w:overflowPunct/>
        <w:autoSpaceDE/>
        <w:autoSpaceDN/>
        <w:adjustRightInd/>
        <w:spacing w:before="0" w:after="0"/>
        <w:ind w:left="1440"/>
        <w:jc w:val="left"/>
        <w:textAlignment w:val="auto"/>
        <w:rPr>
          <w:color w:val="000000"/>
        </w:rPr>
      </w:pPr>
    </w:p>
    <w:p w14:paraId="70C26BC1" w14:textId="21C0A147" w:rsidR="00F26167" w:rsidRDefault="009875CD" w:rsidP="00A4363F">
      <w:pPr>
        <w:pStyle w:val="BodyText1"/>
        <w:numPr>
          <w:ilvl w:val="0"/>
          <w:numId w:val="42"/>
        </w:numPr>
      </w:pPr>
      <w:r>
        <w:t xml:space="preserve">Various </w:t>
      </w:r>
      <w:r w:rsidR="008E5306">
        <w:t>studies</w:t>
      </w:r>
      <w:r>
        <w:t xml:space="preserve"> (including the </w:t>
      </w:r>
      <w:proofErr w:type="spellStart"/>
      <w:r>
        <w:t>WiK</w:t>
      </w:r>
      <w:proofErr w:type="spellEnd"/>
      <w:r>
        <w:t xml:space="preserve"> report on The Economic and Societal Value of Rich Interaction Applications (RIAs) referenced above) acknowledge the benefits that high quality affordable connectivity brings to telco providers, </w:t>
      </w:r>
      <w:r w:rsidR="00051D0B">
        <w:t>OTT</w:t>
      </w:r>
      <w:r w:rsidR="00DA7A4A">
        <w:t xml:space="preserve"> applications</w:t>
      </w:r>
      <w:r w:rsidR="00051D0B">
        <w:t xml:space="preserve"> </w:t>
      </w:r>
      <w:r>
        <w:t xml:space="preserve">and most importantly the communities they serve. In addition to improving education and social engagement, it enables </w:t>
      </w:r>
      <w:r w:rsidR="000E378A">
        <w:t xml:space="preserve">communities to develop new and innovative business models and to extend out the economic benefits generated by these business models into others in their community in a type of virtuous circle. </w:t>
      </w:r>
    </w:p>
    <w:p w14:paraId="2A59D42B" w14:textId="793BFEA5" w:rsidR="005555F5" w:rsidRDefault="005555F5" w:rsidP="005555F5">
      <w:pPr>
        <w:pStyle w:val="BodyText1"/>
        <w:numPr>
          <w:ilvl w:val="0"/>
          <w:numId w:val="42"/>
        </w:numPr>
      </w:pPr>
      <w:r>
        <w:lastRenderedPageBreak/>
        <w:t>As mentioned in res</w:t>
      </w:r>
      <w:r w:rsidR="00206E52">
        <w:t xml:space="preserve">ponse to Question #2 above, OTTs </w:t>
      </w:r>
      <w:r>
        <w:t xml:space="preserve">combined with the Internet access provided by </w:t>
      </w:r>
      <w:r w:rsidR="009870FA">
        <w:t>ISPs</w:t>
      </w:r>
      <w:r>
        <w:t xml:space="preserve"> create a virtuous</w:t>
      </w:r>
      <w:r w:rsidR="00206E52">
        <w:t xml:space="preserve"> cycle of value creation. OTTs</w:t>
      </w:r>
      <w:r>
        <w:t xml:space="preserve"> are accelerating demand for mobile broadband and smartphones, helping to stimulate the growth of traditional telecommunication</w:t>
      </w:r>
      <w:r w:rsidR="009870FA">
        <w:t>s</w:t>
      </w:r>
      <w:r>
        <w:t xml:space="preserve"> markets.  </w:t>
      </w:r>
    </w:p>
    <w:p w14:paraId="0815642B" w14:textId="3BF96698" w:rsidR="005555F5" w:rsidRDefault="005555F5" w:rsidP="005555F5">
      <w:pPr>
        <w:pStyle w:val="BodyText1"/>
        <w:numPr>
          <w:ilvl w:val="0"/>
          <w:numId w:val="42"/>
        </w:numPr>
      </w:pPr>
      <w:r>
        <w:t xml:space="preserve">Telecommunications operators are looking to the Internet and digital services to fuel a new period of growth. This process of ‘digital transformation’ is well underway. The telecoms industry and online service providers are able to drive more value for consumers and the economy when working in close partnership.  </w:t>
      </w:r>
    </w:p>
    <w:p w14:paraId="684D74C6" w14:textId="206E0A33" w:rsidR="009870FA" w:rsidRDefault="005555F5" w:rsidP="005555F5">
      <w:pPr>
        <w:pStyle w:val="BodyText1"/>
        <w:numPr>
          <w:ilvl w:val="0"/>
          <w:numId w:val="42"/>
        </w:numPr>
      </w:pPr>
      <w:r>
        <w:t xml:space="preserve">Telecoms </w:t>
      </w:r>
      <w:r w:rsidR="009870FA">
        <w:t>o</w:t>
      </w:r>
      <w:r>
        <w:t xml:space="preserve">perators and OTTs can unlock tremendous value for consumers and society at large, by partnering closely together. Here are a number of examples: </w:t>
      </w:r>
    </w:p>
    <w:p w14:paraId="6EAB38BA" w14:textId="25509019" w:rsidR="009870FA" w:rsidRDefault="00B447A3" w:rsidP="00206E52">
      <w:pPr>
        <w:pStyle w:val="BodyText1"/>
        <w:numPr>
          <w:ilvl w:val="1"/>
          <w:numId w:val="42"/>
        </w:numPr>
      </w:pPr>
      <w:r>
        <w:t>B</w:t>
      </w:r>
      <w:r w:rsidR="005555F5">
        <w:t>usiness development​: Liberty bundles Netflix subscription with its core services, providing services with a better local market reach while generating additional revenue from taking a share of Netflix subscription sale</w:t>
      </w:r>
      <w:r w:rsidR="009870FA">
        <w:t>;</w:t>
      </w:r>
    </w:p>
    <w:p w14:paraId="49DC3204" w14:textId="1C8F4076" w:rsidR="009870FA" w:rsidRDefault="00B447A3" w:rsidP="00206E52">
      <w:pPr>
        <w:pStyle w:val="BodyText1"/>
        <w:numPr>
          <w:ilvl w:val="1"/>
          <w:numId w:val="42"/>
        </w:numPr>
      </w:pPr>
      <w:r>
        <w:t>T</w:t>
      </w:r>
      <w:r w:rsidR="005555F5">
        <w:t>echnology and operations​: Deutsche Telekom partners with Cisco to implement NFV technologies to offer connectivity services to small and medium-sized enterprises (SMEs) in a number of European countries</w:t>
      </w:r>
      <w:r w:rsidR="009870FA">
        <w:t>;</w:t>
      </w:r>
    </w:p>
    <w:p w14:paraId="67A9E255" w14:textId="3EA8B5D3" w:rsidR="00C57E61" w:rsidRDefault="005555F5" w:rsidP="00206E52">
      <w:pPr>
        <w:pStyle w:val="BodyText1"/>
        <w:numPr>
          <w:ilvl w:val="1"/>
          <w:numId w:val="42"/>
        </w:numPr>
      </w:pPr>
      <w:r>
        <w:t>New business opportunities:​ Bharti Airtel in India provides Android customers with an opportunity to charge the purchases of content in the Google Play Store, such as apps, games, music, video, and e-books, directly to their monthly bill</w:t>
      </w:r>
      <w:r w:rsidR="00C57E61">
        <w:t>; and</w:t>
      </w:r>
    </w:p>
    <w:p w14:paraId="75F7F708" w14:textId="69543A03" w:rsidR="005555F5" w:rsidRDefault="005555F5" w:rsidP="00206E52">
      <w:pPr>
        <w:pStyle w:val="BodyText1"/>
        <w:numPr>
          <w:ilvl w:val="1"/>
          <w:numId w:val="42"/>
        </w:numPr>
      </w:pPr>
      <w:r>
        <w:t xml:space="preserve">New business opportunities:​ MTN Business partners with Microsoft to provide a pan-African cloud platform that offers its business customers a hybrid cloud solution serviced from MTN’s data centres and powered by Microsoft technology.  </w:t>
      </w:r>
    </w:p>
    <w:p w14:paraId="18640B43" w14:textId="77777777" w:rsidR="00F26167" w:rsidRDefault="00F26167" w:rsidP="00F26167">
      <w:pPr>
        <w:pStyle w:val="BodyText1"/>
        <w:ind w:left="1440"/>
      </w:pPr>
    </w:p>
    <w:p w14:paraId="5110C150" w14:textId="1E6382AA" w:rsidR="009875CD" w:rsidRPr="00A4363F" w:rsidRDefault="009875CD" w:rsidP="00F26167">
      <w:pPr>
        <w:pStyle w:val="BodyText1"/>
        <w:ind w:left="1440"/>
        <w:jc w:val="center"/>
      </w:pPr>
    </w:p>
    <w:p w14:paraId="0AD4E7D7" w14:textId="77777777" w:rsidR="00E8404E" w:rsidRDefault="00E8404E" w:rsidP="00E8404E">
      <w:pPr>
        <w:pStyle w:val="BodyText1"/>
        <w:ind w:left="720"/>
        <w:rPr>
          <w:b/>
        </w:rPr>
      </w:pPr>
    </w:p>
    <w:p w14:paraId="24CEEB6A" w14:textId="77777777" w:rsidR="00E8404E" w:rsidRPr="00E8404E" w:rsidRDefault="00E8404E" w:rsidP="00E8404E">
      <w:pPr>
        <w:pStyle w:val="BodyText1"/>
        <w:ind w:left="720"/>
      </w:pPr>
    </w:p>
    <w:sectPr w:rsidR="00E8404E" w:rsidRPr="00E8404E" w:rsidSect="00E8404E">
      <w:headerReference w:type="default" r:id="rId10"/>
      <w:footerReference w:type="default" r:id="rId11"/>
      <w:headerReference w:type="first" r:id="rId12"/>
      <w:footerReference w:type="first" r:id="rId13"/>
      <w:pgSz w:w="11906" w:h="16838" w:code="9"/>
      <w:pgMar w:top="1109" w:right="1418" w:bottom="1701" w:left="1418" w:header="45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F7A94" w14:textId="77777777" w:rsidR="00F865DF" w:rsidRDefault="00F865DF" w:rsidP="001F3352">
      <w:pPr>
        <w:spacing w:before="0" w:after="0"/>
      </w:pPr>
      <w:r>
        <w:separator/>
      </w:r>
    </w:p>
  </w:endnote>
  <w:endnote w:type="continuationSeparator" w:id="0">
    <w:p w14:paraId="785A209B" w14:textId="77777777" w:rsidR="00F865DF" w:rsidRDefault="00F865DF" w:rsidP="001F33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4327"/>
      <w:docPartObj>
        <w:docPartGallery w:val="Page Numbers (Bottom of Page)"/>
        <w:docPartUnique/>
      </w:docPartObj>
    </w:sdtPr>
    <w:sdtEndPr>
      <w:rPr>
        <w:noProof/>
      </w:rPr>
    </w:sdtEndPr>
    <w:sdtContent>
      <w:p w14:paraId="71217EC6" w14:textId="59763332" w:rsidR="00B447A3" w:rsidRDefault="00B447A3">
        <w:pPr>
          <w:pStyle w:val="Footer"/>
          <w:jc w:val="center"/>
        </w:pPr>
        <w:r>
          <w:fldChar w:fldCharType="begin"/>
        </w:r>
        <w:r>
          <w:instrText xml:space="preserve"> PAGE   \* MERGEFORMAT </w:instrText>
        </w:r>
        <w:r>
          <w:fldChar w:fldCharType="separate"/>
        </w:r>
        <w:r w:rsidR="00715CF8">
          <w:rPr>
            <w:noProof/>
          </w:rPr>
          <w:t>12</w:t>
        </w:r>
        <w:r>
          <w:rPr>
            <w:noProof/>
          </w:rPr>
          <w:fldChar w:fldCharType="end"/>
        </w:r>
      </w:p>
    </w:sdtContent>
  </w:sdt>
  <w:p w14:paraId="2D096984" w14:textId="77777777" w:rsidR="00B447A3" w:rsidRDefault="00B447A3" w:rsidP="00185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282376"/>
      <w:docPartObj>
        <w:docPartGallery w:val="Page Numbers (Bottom of Page)"/>
        <w:docPartUnique/>
      </w:docPartObj>
    </w:sdtPr>
    <w:sdtEndPr>
      <w:rPr>
        <w:noProof/>
      </w:rPr>
    </w:sdtEndPr>
    <w:sdtContent>
      <w:p w14:paraId="3CF56B19" w14:textId="50426600" w:rsidR="00B447A3" w:rsidRDefault="00B447A3">
        <w:pPr>
          <w:pStyle w:val="Footer"/>
          <w:jc w:val="center"/>
        </w:pPr>
        <w:r>
          <w:fldChar w:fldCharType="begin"/>
        </w:r>
        <w:r>
          <w:instrText xml:space="preserve"> PAGE   \* MERGEFORMAT </w:instrText>
        </w:r>
        <w:r>
          <w:fldChar w:fldCharType="separate"/>
        </w:r>
        <w:r w:rsidR="00715CF8">
          <w:rPr>
            <w:noProof/>
          </w:rPr>
          <w:t>1</w:t>
        </w:r>
        <w:r>
          <w:rPr>
            <w:noProof/>
          </w:rPr>
          <w:fldChar w:fldCharType="end"/>
        </w:r>
      </w:p>
    </w:sdtContent>
  </w:sdt>
  <w:p w14:paraId="2E1A681D" w14:textId="77777777" w:rsidR="00B447A3" w:rsidRPr="00185124" w:rsidRDefault="00B447A3" w:rsidP="00AB6741">
    <w:pPr>
      <w:tabs>
        <w:tab w:val="center" w:pos="4153"/>
        <w:tab w:val="right" w:pos="8306"/>
      </w:tabs>
      <w:ind w:left="720"/>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D19E1" w14:textId="77777777" w:rsidR="00F865DF" w:rsidRDefault="00F865DF" w:rsidP="001F3352">
      <w:pPr>
        <w:spacing w:before="0" w:after="0"/>
      </w:pPr>
      <w:r>
        <w:separator/>
      </w:r>
    </w:p>
  </w:footnote>
  <w:footnote w:type="continuationSeparator" w:id="0">
    <w:p w14:paraId="36F7116E" w14:textId="77777777" w:rsidR="00F865DF" w:rsidRDefault="00F865DF" w:rsidP="001F3352">
      <w:pPr>
        <w:spacing w:before="0" w:after="0"/>
      </w:pPr>
      <w:r>
        <w:continuationSeparator/>
      </w:r>
    </w:p>
  </w:footnote>
  <w:footnote w:id="1">
    <w:p w14:paraId="11F82DFE" w14:textId="5750DAF2" w:rsidR="00B447A3" w:rsidRPr="00B716F6" w:rsidRDefault="00B447A3">
      <w:pPr>
        <w:pStyle w:val="FootnoteText"/>
        <w:rPr>
          <w:lang w:val="en-SG"/>
        </w:rPr>
      </w:pPr>
      <w:r>
        <w:rPr>
          <w:rStyle w:val="FootnoteReference"/>
        </w:rPr>
        <w:footnoteRef/>
      </w:r>
      <w:r>
        <w:t xml:space="preserve"> </w:t>
      </w:r>
      <w:hyperlink r:id="rId1" w:history="1">
        <w:r w:rsidRPr="00BE6861">
          <w:rPr>
            <w:rStyle w:val="Hyperlink"/>
          </w:rPr>
          <w:t>CCIA​:</w:t>
        </w:r>
      </w:hyperlink>
      <w:r w:rsidRPr="00B716F6">
        <w:t xml:space="preserve"> RIAs are “applications that are used for a wide range of functions, allowing two parties to interact with each other in a long and growing number of ways”</w:t>
      </w:r>
    </w:p>
  </w:footnote>
  <w:footnote w:id="2">
    <w:p w14:paraId="6483A3EB" w14:textId="3FE062BF" w:rsidR="00B447A3" w:rsidRPr="00B716F6" w:rsidRDefault="00B447A3">
      <w:pPr>
        <w:pStyle w:val="FootnoteText"/>
        <w:rPr>
          <w:lang w:val="en-SG"/>
        </w:rPr>
      </w:pPr>
      <w:r>
        <w:rPr>
          <w:rStyle w:val="FootnoteReference"/>
        </w:rPr>
        <w:footnoteRef/>
      </w:r>
      <w:r>
        <w:t xml:space="preserve"> </w:t>
      </w:r>
      <w:hyperlink r:id="rId2" w:history="1">
        <w:r w:rsidRPr="00B716F6">
          <w:rPr>
            <w:rStyle w:val="Hyperlink"/>
          </w:rPr>
          <w:t>CCIA​</w:t>
        </w:r>
      </w:hyperlink>
      <w:r w:rsidRPr="00B716F6">
        <w:t xml:space="preserve"> - “The Socioeconomic Value of Rich Interaction Applications (RIA)”  </w:t>
      </w:r>
    </w:p>
  </w:footnote>
  <w:footnote w:id="3">
    <w:p w14:paraId="19FFD86E" w14:textId="77777777" w:rsidR="00B447A3" w:rsidRDefault="00B447A3">
      <w:pPr>
        <w:pStyle w:val="FootnoteText"/>
      </w:pPr>
      <w:r>
        <w:rPr>
          <w:rStyle w:val="FootnoteReference"/>
        </w:rPr>
        <w:footnoteRef/>
      </w:r>
      <w:r>
        <w:t xml:space="preserve"> See the </w:t>
      </w:r>
      <w:r w:rsidRPr="00333584">
        <w:t xml:space="preserve">recent </w:t>
      </w:r>
      <w:proofErr w:type="spellStart"/>
      <w:r w:rsidRPr="00333584">
        <w:t>WiK</w:t>
      </w:r>
      <w:proofErr w:type="spellEnd"/>
      <w:r w:rsidRPr="00333584">
        <w:t xml:space="preserve"> report on The Economic and Societal Value of Rich Interactio</w:t>
      </w:r>
      <w:r>
        <w:t xml:space="preserve">n Applications (RIAs) (May 2017): </w:t>
      </w:r>
      <w:hyperlink r:id="rId3" w:history="1">
        <w:r w:rsidRPr="00333584">
          <w:rPr>
            <w:rStyle w:val="Hyperlink"/>
          </w:rPr>
          <w:t>http://www.wik.org/index.php?id=879&amp;L=1</w:t>
        </w:r>
      </w:hyperlink>
    </w:p>
  </w:footnote>
  <w:footnote w:id="4">
    <w:p w14:paraId="163CBAEA" w14:textId="5EAABD80" w:rsidR="00B447A3" w:rsidRDefault="00B447A3">
      <w:pPr>
        <w:pStyle w:val="FootnoteText"/>
      </w:pPr>
      <w:r>
        <w:rPr>
          <w:rStyle w:val="FootnoteReference"/>
        </w:rPr>
        <w:footnoteRef/>
      </w:r>
      <w:r>
        <w:t xml:space="preserve"> </w:t>
      </w:r>
      <w:hyperlink r:id="rId4" w:history="1">
        <w:r w:rsidRPr="005C4CC7">
          <w:rPr>
            <w:rStyle w:val="Hyperlink"/>
          </w:rPr>
          <w:t>http://actonline.org/wp-content/uploads/2016_State_of_App_Economy.pdf</w:t>
        </w:r>
      </w:hyperlink>
    </w:p>
    <w:p w14:paraId="79C409E0" w14:textId="77777777" w:rsidR="00B447A3" w:rsidRPr="00DD3197" w:rsidRDefault="00B447A3">
      <w:pPr>
        <w:pStyle w:val="FootnoteText"/>
        <w:rPr>
          <w:lang w:val="en-SG"/>
        </w:rPr>
      </w:pPr>
    </w:p>
  </w:footnote>
  <w:footnote w:id="5">
    <w:p w14:paraId="6015EF7C" w14:textId="28655113" w:rsidR="00B447A3" w:rsidRPr="00BE6861" w:rsidRDefault="00B447A3">
      <w:pPr>
        <w:pStyle w:val="FootnoteText"/>
        <w:rPr>
          <w:lang w:val="en-SG"/>
        </w:rPr>
      </w:pPr>
      <w:r>
        <w:rPr>
          <w:rStyle w:val="FootnoteReference"/>
        </w:rPr>
        <w:footnoteRef/>
      </w:r>
      <w:r>
        <w:t xml:space="preserve"> </w:t>
      </w:r>
      <w:hyperlink r:id="rId5" w:history="1">
        <w:r w:rsidRPr="00BE6861">
          <w:rPr>
            <w:rStyle w:val="Hyperlink"/>
          </w:rPr>
          <w:t>Local Business, Global Ambition: How the Internet is Fuelling SME Exports in Asia-Pacific​.</w:t>
        </w:r>
      </w:hyperlink>
      <w:r w:rsidRPr="00BE6861">
        <w:t xml:space="preserve"> Oxford Economics.</w:t>
      </w:r>
    </w:p>
  </w:footnote>
  <w:footnote w:id="6">
    <w:p w14:paraId="15901972" w14:textId="5DC9C0C0" w:rsidR="00B447A3" w:rsidRPr="00BE6861" w:rsidRDefault="00B447A3">
      <w:pPr>
        <w:pStyle w:val="FootnoteText"/>
        <w:rPr>
          <w:lang w:val="en-SG"/>
        </w:rPr>
      </w:pPr>
      <w:r>
        <w:rPr>
          <w:rStyle w:val="FootnoteReference"/>
        </w:rPr>
        <w:footnoteRef/>
      </w:r>
      <w:r>
        <w:t xml:space="preserve"> </w:t>
      </w:r>
      <w:hyperlink r:id="rId6" w:history="1">
        <w:r w:rsidRPr="00BE6861">
          <w:rPr>
            <w:rStyle w:val="Hyperlink"/>
          </w:rPr>
          <w:t xml:space="preserve">Internet matters: The Net's sweeping impact on growth, jobs, and prosperity, McKinsey Global Institute May 2011 </w:t>
        </w:r>
      </w:hyperlink>
      <w:r w:rsidRPr="00BE6861">
        <w:t xml:space="preserve"> </w:t>
      </w:r>
    </w:p>
  </w:footnote>
  <w:footnote w:id="7">
    <w:p w14:paraId="53E9E562" w14:textId="3F1741C0" w:rsidR="00B447A3" w:rsidRPr="00944927" w:rsidRDefault="00B447A3">
      <w:pPr>
        <w:pStyle w:val="FootnoteText"/>
        <w:rPr>
          <w:lang w:val="en-SG"/>
        </w:rPr>
      </w:pPr>
      <w:r>
        <w:rPr>
          <w:rStyle w:val="FootnoteReference"/>
        </w:rPr>
        <w:footnoteRef/>
      </w:r>
      <w:r>
        <w:t xml:space="preserve"> </w:t>
      </w:r>
      <w:r w:rsidRPr="00944927">
        <w:t>Forthcoming (2017) Indian Council for Research on International Economic Relations (ICRIER) research</w:t>
      </w:r>
    </w:p>
  </w:footnote>
  <w:footnote w:id="8">
    <w:p w14:paraId="64F87713" w14:textId="6F941841" w:rsidR="00B447A3" w:rsidRPr="00944927" w:rsidRDefault="00B447A3">
      <w:pPr>
        <w:pStyle w:val="FootnoteText"/>
        <w:rPr>
          <w:lang w:val="en-SG"/>
        </w:rPr>
      </w:pPr>
      <w:r>
        <w:rPr>
          <w:rStyle w:val="FootnoteReference"/>
        </w:rPr>
        <w:footnoteRef/>
      </w:r>
      <w:r>
        <w:t xml:space="preserve"> </w:t>
      </w:r>
      <w:proofErr w:type="spellStart"/>
      <w:r w:rsidRPr="00944927">
        <w:t>Idate</w:t>
      </w:r>
      <w:proofErr w:type="spellEnd"/>
      <w:r w:rsidRPr="00944927">
        <w:t xml:space="preserve"> (2017): Impact of online communication services on telecom operators in Africa</w:t>
      </w:r>
    </w:p>
  </w:footnote>
  <w:footnote w:id="9">
    <w:p w14:paraId="395E53C6" w14:textId="664E98CB" w:rsidR="00B447A3" w:rsidRPr="00944927" w:rsidRDefault="00B447A3">
      <w:pPr>
        <w:pStyle w:val="FootnoteText"/>
        <w:rPr>
          <w:lang w:val="en-SG"/>
        </w:rPr>
      </w:pPr>
      <w:r>
        <w:rPr>
          <w:rStyle w:val="FootnoteReference"/>
        </w:rPr>
        <w:footnoteRef/>
      </w:r>
      <w:r>
        <w:t xml:space="preserve"> </w:t>
      </w:r>
      <w:proofErr w:type="spellStart"/>
      <w:r w:rsidRPr="00944927">
        <w:t>Analysys</w:t>
      </w:r>
      <w:proofErr w:type="spellEnd"/>
      <w:r w:rsidRPr="00944927">
        <w:t xml:space="preserve"> Mason (2016): ​</w:t>
      </w:r>
      <w:hyperlink r:id="rId7" w:history="1">
        <w:r w:rsidRPr="00944927">
          <w:rPr>
            <w:rStyle w:val="Hyperlink"/>
          </w:rPr>
          <w:t xml:space="preserve">Online content and applications drove over IDR89 trillion in economic value for consumers and telecom operators in Indonesia in 2015 </w:t>
        </w:r>
      </w:hyperlink>
      <w:r w:rsidRPr="00944927">
        <w:t xml:space="preserve"> </w:t>
      </w:r>
    </w:p>
  </w:footnote>
  <w:footnote w:id="10">
    <w:p w14:paraId="0EB376F9" w14:textId="4FBF4115" w:rsidR="00B447A3" w:rsidRPr="00286593" w:rsidRDefault="00B447A3">
      <w:pPr>
        <w:pStyle w:val="FootnoteText"/>
        <w:rPr>
          <w:lang w:val="en-SG"/>
        </w:rPr>
      </w:pPr>
      <w:r>
        <w:rPr>
          <w:rStyle w:val="FootnoteReference"/>
        </w:rPr>
        <w:footnoteRef/>
      </w:r>
      <w:r>
        <w:t xml:space="preserve"> </w:t>
      </w:r>
      <w:proofErr w:type="spellStart"/>
      <w:r w:rsidRPr="00286593">
        <w:t>Analysys</w:t>
      </w:r>
      <w:proofErr w:type="spellEnd"/>
      <w:r w:rsidRPr="00286593">
        <w:t xml:space="preserve"> Mason (2017): “Operators’ Digital Transformation: Unlocking EUR15 billion through partnerships with OSPs”</w:t>
      </w:r>
    </w:p>
  </w:footnote>
  <w:footnote w:id="11">
    <w:p w14:paraId="071EA784" w14:textId="77777777" w:rsidR="00B447A3" w:rsidRDefault="00B447A3" w:rsidP="00E66453">
      <w:pPr>
        <w:pStyle w:val="FootnoteText"/>
      </w:pPr>
      <w:r>
        <w:rPr>
          <w:rStyle w:val="FootnoteReference"/>
        </w:rPr>
        <w:footnoteRef/>
      </w:r>
      <w:r>
        <w:t xml:space="preserve"> </w:t>
      </w:r>
      <w:hyperlink r:id="rId8" w:history="1">
        <w:r w:rsidRPr="004A4D09">
          <w:rPr>
            <w:rStyle w:val="Hyperlink"/>
          </w:rPr>
          <w:t>http://static1.1.sqspcdn.com/static/f/1321365/27575015/1495793366237/LPFMay24.pdf?token=U9zAqtwKdfsRPCHcfwPBRXdMl6c%3D</w:t>
        </w:r>
      </w:hyperlink>
      <w:r>
        <w:t xml:space="preserve"> </w:t>
      </w:r>
    </w:p>
  </w:footnote>
  <w:footnote w:id="12">
    <w:p w14:paraId="3E0D253B" w14:textId="77777777" w:rsidR="00B447A3" w:rsidRDefault="00B447A3">
      <w:pPr>
        <w:pStyle w:val="FootnoteText"/>
      </w:pPr>
      <w:r>
        <w:rPr>
          <w:rStyle w:val="FootnoteReference"/>
        </w:rPr>
        <w:footnoteRef/>
      </w:r>
      <w:r>
        <w:t xml:space="preserve"> </w:t>
      </w:r>
      <w:hyperlink r:id="rId9" w:history="1">
        <w:r w:rsidRPr="004A4D09">
          <w:rPr>
            <w:rStyle w:val="Hyperlink"/>
          </w:rPr>
          <w:t>http://www.wik.org/index.php?id=879&amp;L=1</w:t>
        </w:r>
      </w:hyperlink>
      <w:r>
        <w:t xml:space="preserve"> </w:t>
      </w:r>
    </w:p>
  </w:footnote>
  <w:footnote w:id="13">
    <w:p w14:paraId="42C504D8" w14:textId="77777777" w:rsidR="00B447A3" w:rsidRPr="00F97502" w:rsidRDefault="00B447A3" w:rsidP="008F60AD">
      <w:pPr>
        <w:pStyle w:val="FootnoteText"/>
        <w:rPr>
          <w:lang w:val="en-US"/>
        </w:rPr>
      </w:pPr>
      <w:r>
        <w:rPr>
          <w:rStyle w:val="FootnoteReference"/>
        </w:rPr>
        <w:footnoteRef/>
      </w:r>
      <w:r>
        <w:t xml:space="preserve"> </w:t>
      </w:r>
      <w:r w:rsidRPr="00F97502">
        <w:t>https://www.gsmaintelligence.com/research/?file=2014-08-29-rebalancing-the-value-from-voice-and-sms-to-data.pdf&amp;download</w:t>
      </w:r>
    </w:p>
  </w:footnote>
  <w:footnote w:id="14">
    <w:p w14:paraId="6D44C310" w14:textId="50BB5AC3" w:rsidR="00B447A3" w:rsidRPr="00286593" w:rsidRDefault="00B447A3">
      <w:pPr>
        <w:pStyle w:val="FootnoteText"/>
        <w:rPr>
          <w:lang w:val="en-SG"/>
        </w:rPr>
      </w:pPr>
      <w:r>
        <w:rPr>
          <w:rStyle w:val="FootnoteReference"/>
        </w:rPr>
        <w:footnoteRef/>
      </w:r>
      <w:r>
        <w:t xml:space="preserve"> </w:t>
      </w:r>
      <w:r w:rsidRPr="00286593">
        <w:t xml:space="preserve">Access Now: </w:t>
      </w:r>
      <w:hyperlink r:id="rId10" w:history="1">
        <w:r w:rsidRPr="00286593">
          <w:rPr>
            <w:rStyle w:val="Hyperlink"/>
          </w:rPr>
          <w:t>“​Watch Bad Regulation on OTT Services​”</w:t>
        </w:r>
      </w:hyperlink>
    </w:p>
  </w:footnote>
  <w:footnote w:id="15">
    <w:p w14:paraId="16B04E72" w14:textId="3DE16D17" w:rsidR="00B447A3" w:rsidRPr="00206E52" w:rsidRDefault="00B447A3">
      <w:pPr>
        <w:pStyle w:val="FootnoteText"/>
        <w:rPr>
          <w:lang w:val="en-US"/>
        </w:rPr>
      </w:pPr>
      <w:r>
        <w:rPr>
          <w:rStyle w:val="FootnoteReference"/>
        </w:rPr>
        <w:footnoteRef/>
      </w:r>
      <w:r>
        <w:t xml:space="preserve"> </w:t>
      </w:r>
      <w:r>
        <w:rPr>
          <w:lang w:val="en-US"/>
        </w:rPr>
        <w:t>GSMA: “GSMA Intelligence: Capex outlook: coverage, capacity and competitive edge.”</w:t>
      </w:r>
    </w:p>
  </w:footnote>
  <w:footnote w:id="16">
    <w:p w14:paraId="5A8B4545" w14:textId="6E257764" w:rsidR="00B447A3" w:rsidRPr="00286593" w:rsidRDefault="00B447A3">
      <w:pPr>
        <w:pStyle w:val="FootnoteText"/>
        <w:rPr>
          <w:lang w:val="en-SG"/>
        </w:rPr>
      </w:pPr>
      <w:r>
        <w:rPr>
          <w:rStyle w:val="FootnoteReference"/>
        </w:rPr>
        <w:footnoteRef/>
      </w:r>
      <w:r>
        <w:t xml:space="preserve"> </w:t>
      </w:r>
      <w:proofErr w:type="spellStart"/>
      <w:r w:rsidRPr="00286593">
        <w:t>Analysys</w:t>
      </w:r>
      <w:proofErr w:type="spellEnd"/>
      <w:r w:rsidRPr="00286593">
        <w:t xml:space="preserve"> Mason</w:t>
      </w:r>
      <w:hyperlink r:id="rId11" w:history="1">
        <w:r w:rsidRPr="00286593">
          <w:rPr>
            <w:rStyle w:val="Hyperlink"/>
          </w:rPr>
          <w:t xml:space="preserve">​ “Investment in networks, facilities and equipment by content and application providers” </w:t>
        </w:r>
      </w:hyperlink>
      <w:r w:rsidRPr="00286593">
        <w:t xml:space="preserve"> </w:t>
      </w:r>
    </w:p>
  </w:footnote>
  <w:footnote w:id="17">
    <w:p w14:paraId="195A1DB4" w14:textId="77777777" w:rsidR="00B447A3" w:rsidRDefault="00B447A3">
      <w:pPr>
        <w:pStyle w:val="FootnoteText"/>
      </w:pPr>
      <w:r>
        <w:rPr>
          <w:rStyle w:val="FootnoteReference"/>
        </w:rPr>
        <w:footnoteRef/>
      </w:r>
      <w:r>
        <w:t xml:space="preserve"> </w:t>
      </w:r>
      <w:hyperlink r:id="rId12" w:history="1">
        <w:r w:rsidRPr="004A4D09">
          <w:rPr>
            <w:rStyle w:val="Hyperlink"/>
          </w:rPr>
          <w:t>http://www.wik.org/fileadmin/Studien/2016/OTT_Study_ENG.pdf</w:t>
        </w:r>
      </w:hyperlink>
      <w:r>
        <w:t xml:space="preserve"> </w:t>
      </w:r>
    </w:p>
  </w:footnote>
  <w:footnote w:id="18">
    <w:p w14:paraId="635E2A6A" w14:textId="3D1BA955" w:rsidR="00B447A3" w:rsidRPr="005555F5" w:rsidRDefault="00B447A3">
      <w:pPr>
        <w:pStyle w:val="FootnoteText"/>
        <w:rPr>
          <w:lang w:val="en-SG"/>
        </w:rPr>
      </w:pPr>
      <w:r>
        <w:rPr>
          <w:rStyle w:val="FootnoteReference"/>
        </w:rPr>
        <w:footnoteRef/>
      </w:r>
      <w:r>
        <w:t xml:space="preserve"> </w:t>
      </w:r>
      <w:r w:rsidRPr="005555F5">
        <w:t xml:space="preserve">Oxford Economics (2016) </w:t>
      </w:r>
      <w:hyperlink r:id="rId13" w:history="1">
        <w:r w:rsidRPr="005555F5">
          <w:rPr>
            <w:rStyle w:val="Hyperlink"/>
          </w:rPr>
          <w:t>“​One million opportunities: The impact of mobile internet on the economy of Southeast Asia​”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364A8" w14:textId="50847015" w:rsidR="00B447A3" w:rsidRDefault="00B447A3" w:rsidP="00F26B4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EB224" w14:textId="5AA7B506" w:rsidR="00B447A3" w:rsidRPr="009E0D2D" w:rsidRDefault="00D81760" w:rsidP="00D81760">
    <w:pPr>
      <w:pStyle w:val="Header"/>
      <w:ind w:right="-850"/>
      <w:jc w:val="both"/>
    </w:pPr>
    <w:r>
      <w:rPr>
        <w:noProof/>
        <w:lang w:val="en-SG" w:eastAsia="en-SG"/>
      </w:rPr>
      <w:drawing>
        <wp:inline distT="0" distB="0" distL="0" distR="0" wp14:anchorId="6ED88E94" wp14:editId="04E2B716">
          <wp:extent cx="1542415" cy="719455"/>
          <wp:effectExtent l="0" t="0" r="63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415" cy="719455"/>
                  </a:xfrm>
                  <a:prstGeom prst="rect">
                    <a:avLst/>
                  </a:prstGeom>
                  <a:noFill/>
                </pic:spPr>
              </pic:pic>
            </a:graphicData>
          </a:graphic>
        </wp:inline>
      </w:drawing>
    </w:r>
    <w:r w:rsidR="00B447A3">
      <w:tab/>
    </w:r>
    <w:r w:rsidR="00B447A3">
      <w:tab/>
    </w:r>
    <w:r w:rsidR="00B447A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D66EA92"/>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4CD87A"/>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B3EF288"/>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B6288E"/>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2EA0E28"/>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AE7FE8"/>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94A8EC"/>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BE4094"/>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94C9FA"/>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FB"/>
    <w:multiLevelType w:val="multilevel"/>
    <w:tmpl w:val="66FC6F74"/>
    <w:name w:val="Heading"/>
    <w:lvl w:ilvl="0">
      <w:start w:val="1"/>
      <w:numFmt w:val="none"/>
      <w:pStyle w:val="Heading1"/>
      <w:lvlText w:val=""/>
      <w:lvlJc w:val="left"/>
      <w:pPr>
        <w:tabs>
          <w:tab w:val="num" w:pos="0"/>
        </w:tabs>
        <w:ind w:left="0" w:firstLine="0"/>
      </w:pPr>
      <w:rPr>
        <w:rFonts w:ascii="Arial" w:hAnsi="Arial" w:cs="Arial" w:hint="default"/>
        <w:b w:val="0"/>
        <w:i w:val="0"/>
        <w:sz w:val="20"/>
      </w:rPr>
    </w:lvl>
    <w:lvl w:ilvl="1">
      <w:start w:val="1"/>
      <w:numFmt w:val="decimal"/>
      <w:pStyle w:val="Heading2"/>
      <w:lvlText w:val="%2."/>
      <w:lvlJc w:val="left"/>
      <w:pPr>
        <w:tabs>
          <w:tab w:val="num" w:pos="720"/>
        </w:tabs>
        <w:ind w:left="720" w:hanging="720"/>
      </w:pPr>
      <w:rPr>
        <w:rFonts w:ascii="Arial" w:hAnsi="Arial" w:cs="Arial" w:hint="default"/>
        <w:b w:val="0"/>
        <w:i w:val="0"/>
        <w:sz w:val="20"/>
      </w:rPr>
    </w:lvl>
    <w:lvl w:ilvl="2">
      <w:start w:val="1"/>
      <w:numFmt w:val="decimal"/>
      <w:pStyle w:val="Heading3"/>
      <w:lvlText w:val="%2.%3"/>
      <w:lvlJc w:val="left"/>
      <w:pPr>
        <w:tabs>
          <w:tab w:val="num" w:pos="720"/>
        </w:tabs>
        <w:ind w:left="720" w:hanging="720"/>
      </w:pPr>
      <w:rPr>
        <w:rFonts w:ascii="Arial" w:hAnsi="Arial" w:cs="Arial" w:hint="default"/>
        <w:b w:val="0"/>
        <w:i w:val="0"/>
        <w:sz w:val="20"/>
      </w:rPr>
    </w:lvl>
    <w:lvl w:ilvl="3">
      <w:start w:val="1"/>
      <w:numFmt w:val="lowerLetter"/>
      <w:pStyle w:val="Heading4"/>
      <w:lvlText w:val="(%4)"/>
      <w:lvlJc w:val="left"/>
      <w:pPr>
        <w:tabs>
          <w:tab w:val="num" w:pos="1440"/>
        </w:tabs>
        <w:ind w:left="1440" w:hanging="720"/>
      </w:pPr>
      <w:rPr>
        <w:rFonts w:ascii="Arial" w:hAnsi="Arial" w:cs="Arial" w:hint="default"/>
        <w:b w:val="0"/>
        <w:i w:val="0"/>
        <w:sz w:val="20"/>
      </w:rPr>
    </w:lvl>
    <w:lvl w:ilvl="4">
      <w:start w:val="1"/>
      <w:numFmt w:val="lowerRoman"/>
      <w:pStyle w:val="Heading5"/>
      <w:lvlText w:val="(%5)"/>
      <w:lvlJc w:val="left"/>
      <w:pPr>
        <w:tabs>
          <w:tab w:val="num" w:pos="2160"/>
        </w:tabs>
        <w:ind w:left="2160" w:hanging="720"/>
      </w:pPr>
      <w:rPr>
        <w:rFonts w:ascii="Arial" w:hAnsi="Arial" w:cs="Arial" w:hint="default"/>
        <w:b w:val="0"/>
        <w:i w:val="0"/>
        <w:sz w:val="20"/>
      </w:rPr>
    </w:lvl>
    <w:lvl w:ilvl="5">
      <w:start w:val="1"/>
      <w:numFmt w:val="upperLetter"/>
      <w:pStyle w:val="Heading6"/>
      <w:lvlText w:val="(%6)"/>
      <w:lvlJc w:val="left"/>
      <w:pPr>
        <w:tabs>
          <w:tab w:val="num" w:pos="2880"/>
        </w:tabs>
        <w:ind w:left="2880" w:hanging="720"/>
      </w:pPr>
      <w:rPr>
        <w:rFonts w:ascii="Arial" w:hAnsi="Arial" w:cs="Arial" w:hint="default"/>
        <w:b w:val="0"/>
        <w:i w:val="0"/>
        <w:sz w:val="20"/>
      </w:rPr>
    </w:lvl>
    <w:lvl w:ilvl="6">
      <w:start w:val="1"/>
      <w:numFmt w:val="lowerRoman"/>
      <w:pStyle w:val="Heading7"/>
      <w:lvlText w:val="(%7)"/>
      <w:lvlJc w:val="left"/>
      <w:pPr>
        <w:tabs>
          <w:tab w:val="num" w:pos="0"/>
        </w:tabs>
        <w:ind w:left="4298" w:hanging="709"/>
      </w:pPr>
      <w:rPr>
        <w:rFonts w:hint="default"/>
      </w:rPr>
    </w:lvl>
    <w:lvl w:ilvl="7">
      <w:start w:val="1"/>
      <w:numFmt w:val="lowerLetter"/>
      <w:pStyle w:val="Heading8"/>
      <w:lvlText w:val="(%8)"/>
      <w:lvlJc w:val="left"/>
      <w:pPr>
        <w:tabs>
          <w:tab w:val="num" w:pos="0"/>
        </w:tabs>
        <w:ind w:left="5007" w:hanging="709"/>
      </w:pPr>
      <w:rPr>
        <w:rFonts w:hint="default"/>
      </w:rPr>
    </w:lvl>
    <w:lvl w:ilvl="8">
      <w:start w:val="1"/>
      <w:numFmt w:val="lowerRoman"/>
      <w:pStyle w:val="Heading9"/>
      <w:lvlText w:val="(%9)"/>
      <w:lvlJc w:val="left"/>
      <w:pPr>
        <w:tabs>
          <w:tab w:val="num" w:pos="0"/>
        </w:tabs>
        <w:ind w:left="5710" w:hanging="703"/>
      </w:pPr>
      <w:rPr>
        <w:rFonts w:hint="default"/>
      </w:rPr>
    </w:lvl>
  </w:abstractNum>
  <w:abstractNum w:abstractNumId="10" w15:restartNumberingAfterBreak="0">
    <w:nsid w:val="FFFFFFFE"/>
    <w:multiLevelType w:val="singleLevel"/>
    <w:tmpl w:val="FF4A6CD6"/>
    <w:lvl w:ilvl="0">
      <w:numFmt w:val="decimal"/>
      <w:lvlText w:val="*"/>
      <w:lvlJc w:val="left"/>
    </w:lvl>
  </w:abstractNum>
  <w:abstractNum w:abstractNumId="11" w15:restartNumberingAfterBreak="0">
    <w:nsid w:val="007111B1"/>
    <w:multiLevelType w:val="multilevel"/>
    <w:tmpl w:val="8A86A05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18F7776"/>
    <w:multiLevelType w:val="multilevel"/>
    <w:tmpl w:val="EFA07554"/>
    <w:lvl w:ilvl="0">
      <w:start w:val="1"/>
      <w:numFmt w:val="decimal"/>
      <w:lvlText w:val="%1."/>
      <w:lvlJc w:val="left"/>
      <w:pPr>
        <w:tabs>
          <w:tab w:val="num" w:pos="720"/>
        </w:tabs>
        <w:ind w:left="720" w:hanging="720"/>
      </w:pPr>
      <w:rPr>
        <w:rFonts w:ascii="Arial" w:hAnsi="Arial" w:hint="default"/>
        <w:b w:val="0"/>
        <w:i w:val="0"/>
        <w:sz w:val="20"/>
        <w:szCs w:val="2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225" w:hanging="505"/>
      </w:pPr>
      <w:rPr>
        <w:rFonts w:hint="default"/>
        <w:b w:val="0"/>
        <w:i w:val="0"/>
      </w:rPr>
    </w:lvl>
    <w:lvl w:ilvl="3">
      <w:start w:val="1"/>
      <w:numFmt w:val="decimal"/>
      <w:lvlText w:val="%1.%2.%3.%4."/>
      <w:lvlJc w:val="left"/>
      <w:pPr>
        <w:tabs>
          <w:tab w:val="num" w:pos="1797"/>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3" w15:restartNumberingAfterBreak="0">
    <w:nsid w:val="053D27BD"/>
    <w:multiLevelType w:val="multilevel"/>
    <w:tmpl w:val="88DCDAD6"/>
    <w:name w:val="Schedule"/>
    <w:styleLink w:val="Schedules"/>
    <w:lvl w:ilvl="0">
      <w:start w:val="1"/>
      <w:numFmt w:val="none"/>
      <w:pStyle w:val="Schedule"/>
      <w:suff w:val="space"/>
      <w:lvlText w:val=""/>
      <w:lvlJc w:val="left"/>
      <w:pPr>
        <w:ind w:left="360" w:hanging="360"/>
      </w:pPr>
      <w:rPr>
        <w:rFonts w:hint="default"/>
      </w:rPr>
    </w:lvl>
    <w:lvl w:ilvl="1">
      <w:start w:val="1"/>
      <w:numFmt w:val="decimal"/>
      <w:pStyle w:val="ScheduleText"/>
      <w:lvlText w:val="%2."/>
      <w:lvlJc w:val="left"/>
      <w:pPr>
        <w:tabs>
          <w:tab w:val="num" w:pos="720"/>
        </w:tabs>
        <w:ind w:left="720" w:hanging="720"/>
      </w:pPr>
      <w:rPr>
        <w:rFonts w:hint="default"/>
      </w:rPr>
    </w:lvl>
    <w:lvl w:ilvl="2">
      <w:start w:val="1"/>
      <w:numFmt w:val="decimal"/>
      <w:pStyle w:val="ScheduleTextLevel2"/>
      <w:lvlText w:val="%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9497381"/>
    <w:multiLevelType w:val="hybridMultilevel"/>
    <w:tmpl w:val="C3763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104FFD"/>
    <w:multiLevelType w:val="hybridMultilevel"/>
    <w:tmpl w:val="BA748B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4F53579"/>
    <w:multiLevelType w:val="hybridMultilevel"/>
    <w:tmpl w:val="371EF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284E09"/>
    <w:multiLevelType w:val="hybridMultilevel"/>
    <w:tmpl w:val="A8A8B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163945"/>
    <w:multiLevelType w:val="hybridMultilevel"/>
    <w:tmpl w:val="B2061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705D7D"/>
    <w:multiLevelType w:val="hybridMultilevel"/>
    <w:tmpl w:val="C164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4B1E12"/>
    <w:multiLevelType w:val="hybridMultilevel"/>
    <w:tmpl w:val="BA7E0740"/>
    <w:name w:val="List Bullet"/>
    <w:lvl w:ilvl="0" w:tplc="668C6AE0">
      <w:start w:val="1"/>
      <w:numFmt w:val="bullet"/>
      <w:pStyle w:val="ListBullet"/>
      <w:lvlText w:val="●"/>
      <w:lvlJc w:val="left"/>
      <w:pPr>
        <w:tabs>
          <w:tab w:val="num" w:pos="720"/>
        </w:tabs>
        <w:ind w:left="720" w:hanging="720"/>
      </w:pPr>
      <w:rPr>
        <w:rFonts w:ascii="Arial"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B66134"/>
    <w:multiLevelType w:val="hybridMultilevel"/>
    <w:tmpl w:val="B7389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533D6B"/>
    <w:multiLevelType w:val="hybridMultilevel"/>
    <w:tmpl w:val="EC8C65B0"/>
    <w:name w:val="Recital"/>
    <w:lvl w:ilvl="0" w:tplc="BE8C96B0">
      <w:start w:val="1"/>
      <w:numFmt w:val="upperLetter"/>
      <w:pStyle w:val="Recital"/>
      <w:lvlText w:val="(%1)"/>
      <w:lvlJc w:val="left"/>
      <w:pPr>
        <w:tabs>
          <w:tab w:val="num" w:pos="0"/>
        </w:tabs>
        <w:ind w:left="720" w:hanging="720"/>
      </w:pPr>
      <w:rPr>
        <w:rFonts w:ascii="Arial" w:hAnsi="Arial" w:cs="Times New Roman" w:hint="default"/>
        <w:b w:val="0"/>
        <w:i w:val="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1F37FA5"/>
    <w:multiLevelType w:val="hybridMultilevel"/>
    <w:tmpl w:val="6044722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31A36AD"/>
    <w:multiLevelType w:val="singleLevel"/>
    <w:tmpl w:val="076865FA"/>
    <w:name w:val="Parties"/>
    <w:lvl w:ilvl="0">
      <w:start w:val="1"/>
      <w:numFmt w:val="decimal"/>
      <w:pStyle w:val="Parties"/>
      <w:lvlText w:val="(%1)"/>
      <w:legacy w:legacy="1" w:legacySpace="0" w:legacyIndent="720"/>
      <w:lvlJc w:val="left"/>
      <w:pPr>
        <w:ind w:left="720" w:hanging="720"/>
      </w:pPr>
      <w:rPr>
        <w:rFonts w:ascii="Arial" w:hAnsi="Arial" w:cs="Arial" w:hint="default"/>
        <w:b w:val="0"/>
        <w:i w:val="0"/>
        <w:sz w:val="20"/>
      </w:rPr>
    </w:lvl>
  </w:abstractNum>
  <w:abstractNum w:abstractNumId="25" w15:restartNumberingAfterBreak="0">
    <w:nsid w:val="3756218B"/>
    <w:multiLevelType w:val="hybridMultilevel"/>
    <w:tmpl w:val="0B80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AB20ED"/>
    <w:multiLevelType w:val="hybridMultilevel"/>
    <w:tmpl w:val="73EED844"/>
    <w:lvl w:ilvl="0" w:tplc="4809000F">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402B6B4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14068F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2AE57C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3CF1B6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775125C"/>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15:restartNumberingAfterBreak="0">
    <w:nsid w:val="49C01FEC"/>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4DFC79E0"/>
    <w:multiLevelType w:val="hybridMultilevel"/>
    <w:tmpl w:val="A782BB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E294651"/>
    <w:multiLevelType w:val="hybridMultilevel"/>
    <w:tmpl w:val="CFCC69A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2E43330"/>
    <w:multiLevelType w:val="hybridMultilevel"/>
    <w:tmpl w:val="C7383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4656EAB"/>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F0C1F38"/>
    <w:multiLevelType w:val="multilevel"/>
    <w:tmpl w:val="08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9037229"/>
    <w:multiLevelType w:val="hybridMultilevel"/>
    <w:tmpl w:val="B0367B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A2D1552"/>
    <w:multiLevelType w:val="multilevel"/>
    <w:tmpl w:val="88DCDAD6"/>
    <w:name w:val="Schedule_1"/>
    <w:numStyleLink w:val="Schedules"/>
  </w:abstractNum>
  <w:abstractNum w:abstractNumId="40" w15:restartNumberingAfterBreak="0">
    <w:nsid w:val="6CB22F11"/>
    <w:multiLevelType w:val="hybridMultilevel"/>
    <w:tmpl w:val="947823D0"/>
    <w:lvl w:ilvl="0" w:tplc="6F6E2A52">
      <w:start w:val="1"/>
      <w:numFmt w:val="bullet"/>
      <w:lvlRestart w:val="0"/>
      <w:lvlText w:val="●"/>
      <w:lvlJc w:val="left"/>
      <w:pPr>
        <w:tabs>
          <w:tab w:val="num" w:pos="720"/>
        </w:tabs>
        <w:ind w:left="720" w:hanging="720"/>
      </w:pPr>
      <w:rPr>
        <w:rFonts w:ascii="Arial" w:hAnsi="Arial" w:cs="Aria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91E5D"/>
    <w:multiLevelType w:val="multilevel"/>
    <w:tmpl w:val="88DCDAD6"/>
    <w:numStyleLink w:val="Schedules"/>
  </w:abstractNum>
  <w:abstractNum w:abstractNumId="42" w15:restartNumberingAfterBreak="0">
    <w:nsid w:val="73013136"/>
    <w:multiLevelType w:val="hybridMultilevel"/>
    <w:tmpl w:val="53844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CD3B8D"/>
    <w:multiLevelType w:val="hybridMultilevel"/>
    <w:tmpl w:val="8AECE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B3B509A"/>
    <w:multiLevelType w:val="multilevel"/>
    <w:tmpl w:val="8C7A85B4"/>
    <w:lvl w:ilvl="0">
      <w:start w:val="1"/>
      <w:numFmt w:val="none"/>
      <w:suff w:val="space"/>
      <w:lvlText w:val="Schedule"/>
      <w:lvlJc w:val="left"/>
      <w:pPr>
        <w:ind w:left="360" w:hanging="360"/>
      </w:pPr>
      <w:rPr>
        <w:rFonts w:hint="default"/>
      </w:rPr>
    </w:lvl>
    <w:lvl w:ilvl="1">
      <w:start w:val="1"/>
      <w:numFmt w:val="decimal"/>
      <w:lvlText w:val="%2."/>
      <w:lvlJc w:val="left"/>
      <w:pPr>
        <w:tabs>
          <w:tab w:val="num" w:pos="720"/>
        </w:tabs>
        <w:ind w:left="720" w:hanging="720"/>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40"/>
  </w:num>
  <w:num w:numId="6">
    <w:abstractNumId w:val="30"/>
  </w:num>
  <w:num w:numId="7">
    <w:abstractNumId w:val="27"/>
  </w:num>
  <w:num w:numId="8">
    <w:abstractNumId w:val="31"/>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2"/>
  </w:num>
  <w:num w:numId="19">
    <w:abstractNumId w:val="36"/>
  </w:num>
  <w:num w:numId="20">
    <w:abstractNumId w:val="37"/>
  </w:num>
  <w:num w:numId="21">
    <w:abstractNumId w:val="20"/>
  </w:num>
  <w:num w:numId="22">
    <w:abstractNumId w:val="24"/>
  </w:num>
  <w:num w:numId="23">
    <w:abstractNumId w:val="22"/>
  </w:num>
  <w:num w:numId="24">
    <w:abstractNumId w:val="12"/>
  </w:num>
  <w:num w:numId="25">
    <w:abstractNumId w:val="11"/>
  </w:num>
  <w:num w:numId="26">
    <w:abstractNumId w:val="29"/>
  </w:num>
  <w:num w:numId="27">
    <w:abstractNumId w:val="28"/>
  </w:num>
  <w:num w:numId="28">
    <w:abstractNumId w:val="44"/>
  </w:num>
  <w:num w:numId="29">
    <w:abstractNumId w:val="44"/>
  </w:num>
  <w:num w:numId="30">
    <w:abstractNumId w:val="11"/>
  </w:num>
  <w:num w:numId="31">
    <w:abstractNumId w:val="44"/>
  </w:num>
  <w:num w:numId="32">
    <w:abstractNumId w:val="13"/>
  </w:num>
  <w:num w:numId="33">
    <w:abstractNumId w:val="41"/>
  </w:num>
  <w:num w:numId="34">
    <w:abstractNumId w:val="41"/>
  </w:num>
  <w:num w:numId="35">
    <w:abstractNumId w:val="41"/>
  </w:num>
  <w:num w:numId="36">
    <w:abstractNumId w:val="13"/>
  </w:num>
  <w:num w:numId="37">
    <w:abstractNumId w:val="39"/>
  </w:num>
  <w:num w:numId="38">
    <w:abstractNumId w:val="17"/>
  </w:num>
  <w:num w:numId="39">
    <w:abstractNumId w:val="18"/>
  </w:num>
  <w:num w:numId="40">
    <w:abstractNumId w:val="15"/>
  </w:num>
  <w:num w:numId="41">
    <w:abstractNumId w:val="34"/>
  </w:num>
  <w:num w:numId="42">
    <w:abstractNumId w:val="23"/>
  </w:num>
  <w:num w:numId="43">
    <w:abstractNumId w:val="38"/>
  </w:num>
  <w:num w:numId="44">
    <w:abstractNumId w:val="33"/>
  </w:num>
  <w:num w:numId="45">
    <w:abstractNumId w:val="19"/>
  </w:num>
  <w:num w:numId="46">
    <w:abstractNumId w:val="16"/>
  </w:num>
  <w:num w:numId="47">
    <w:abstractNumId w:val="21"/>
  </w:num>
  <w:num w:numId="48">
    <w:abstractNumId w:val="42"/>
  </w:num>
  <w:num w:numId="49">
    <w:abstractNumId w:val="14"/>
  </w:num>
  <w:num w:numId="50">
    <w:abstractNumId w:val="25"/>
  </w:num>
  <w:num w:numId="51">
    <w:abstractNumId w:val="43"/>
  </w:num>
  <w:num w:numId="52">
    <w:abstractNumId w:val="35"/>
  </w:num>
  <w:num w:numId="53">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BD3"/>
    <w:rsid w:val="000007EA"/>
    <w:rsid w:val="00003D2E"/>
    <w:rsid w:val="00004A80"/>
    <w:rsid w:val="000054AD"/>
    <w:rsid w:val="00010CBD"/>
    <w:rsid w:val="000123F7"/>
    <w:rsid w:val="00041495"/>
    <w:rsid w:val="00051D0B"/>
    <w:rsid w:val="000579FB"/>
    <w:rsid w:val="00064E7B"/>
    <w:rsid w:val="000650C9"/>
    <w:rsid w:val="000B0CBD"/>
    <w:rsid w:val="000C254A"/>
    <w:rsid w:val="000C6104"/>
    <w:rsid w:val="000D2E29"/>
    <w:rsid w:val="000E378A"/>
    <w:rsid w:val="00130E67"/>
    <w:rsid w:val="00133D2F"/>
    <w:rsid w:val="00146E94"/>
    <w:rsid w:val="00160049"/>
    <w:rsid w:val="00167E4F"/>
    <w:rsid w:val="00181825"/>
    <w:rsid w:val="00185124"/>
    <w:rsid w:val="0019368A"/>
    <w:rsid w:val="00194ABA"/>
    <w:rsid w:val="001A41EF"/>
    <w:rsid w:val="001A4CE7"/>
    <w:rsid w:val="001A59CF"/>
    <w:rsid w:val="001A7BA5"/>
    <w:rsid w:val="001B2BC3"/>
    <w:rsid w:val="001D12A3"/>
    <w:rsid w:val="001D348E"/>
    <w:rsid w:val="001D3A54"/>
    <w:rsid w:val="001F3352"/>
    <w:rsid w:val="00202DBD"/>
    <w:rsid w:val="00206E52"/>
    <w:rsid w:val="0021329E"/>
    <w:rsid w:val="0021798E"/>
    <w:rsid w:val="00253757"/>
    <w:rsid w:val="00253FDB"/>
    <w:rsid w:val="00265645"/>
    <w:rsid w:val="002710EE"/>
    <w:rsid w:val="00285FE7"/>
    <w:rsid w:val="00286593"/>
    <w:rsid w:val="002A6A0E"/>
    <w:rsid w:val="002B3807"/>
    <w:rsid w:val="002D1B6B"/>
    <w:rsid w:val="002D3001"/>
    <w:rsid w:val="002D452F"/>
    <w:rsid w:val="002D6E13"/>
    <w:rsid w:val="002E3690"/>
    <w:rsid w:val="002F44AE"/>
    <w:rsid w:val="00304189"/>
    <w:rsid w:val="003163AB"/>
    <w:rsid w:val="003278CD"/>
    <w:rsid w:val="00333584"/>
    <w:rsid w:val="00350591"/>
    <w:rsid w:val="00353EBE"/>
    <w:rsid w:val="00356285"/>
    <w:rsid w:val="00374E73"/>
    <w:rsid w:val="003851E2"/>
    <w:rsid w:val="00386155"/>
    <w:rsid w:val="00395796"/>
    <w:rsid w:val="003A553D"/>
    <w:rsid w:val="003B23C5"/>
    <w:rsid w:val="003D63DB"/>
    <w:rsid w:val="003D6E61"/>
    <w:rsid w:val="003D76C7"/>
    <w:rsid w:val="003E1F45"/>
    <w:rsid w:val="003F41F0"/>
    <w:rsid w:val="004458E3"/>
    <w:rsid w:val="00476EEC"/>
    <w:rsid w:val="004E7D42"/>
    <w:rsid w:val="004F2A62"/>
    <w:rsid w:val="004F5F2F"/>
    <w:rsid w:val="00506E48"/>
    <w:rsid w:val="00516E83"/>
    <w:rsid w:val="00530C4B"/>
    <w:rsid w:val="005555F5"/>
    <w:rsid w:val="0055577E"/>
    <w:rsid w:val="00560D9C"/>
    <w:rsid w:val="00593C6C"/>
    <w:rsid w:val="005A2D4F"/>
    <w:rsid w:val="005B3E62"/>
    <w:rsid w:val="005B5215"/>
    <w:rsid w:val="005B54D9"/>
    <w:rsid w:val="005C4852"/>
    <w:rsid w:val="005D236F"/>
    <w:rsid w:val="005E50D9"/>
    <w:rsid w:val="005F0C94"/>
    <w:rsid w:val="00603097"/>
    <w:rsid w:val="00616AE4"/>
    <w:rsid w:val="006354BB"/>
    <w:rsid w:val="0063729C"/>
    <w:rsid w:val="006520E0"/>
    <w:rsid w:val="00654C03"/>
    <w:rsid w:val="00660F8A"/>
    <w:rsid w:val="006676E3"/>
    <w:rsid w:val="006C54C5"/>
    <w:rsid w:val="006D0B74"/>
    <w:rsid w:val="006D72EB"/>
    <w:rsid w:val="006F3243"/>
    <w:rsid w:val="006F52A0"/>
    <w:rsid w:val="00700B96"/>
    <w:rsid w:val="00711C4F"/>
    <w:rsid w:val="00712D1C"/>
    <w:rsid w:val="00713567"/>
    <w:rsid w:val="00714376"/>
    <w:rsid w:val="00715CF8"/>
    <w:rsid w:val="00733BFF"/>
    <w:rsid w:val="007608F5"/>
    <w:rsid w:val="00760A5A"/>
    <w:rsid w:val="0078242A"/>
    <w:rsid w:val="007972F1"/>
    <w:rsid w:val="007A14E4"/>
    <w:rsid w:val="007A5829"/>
    <w:rsid w:val="007A59BF"/>
    <w:rsid w:val="007B3240"/>
    <w:rsid w:val="007B762B"/>
    <w:rsid w:val="007C262B"/>
    <w:rsid w:val="007D75EC"/>
    <w:rsid w:val="007E49C5"/>
    <w:rsid w:val="007F0824"/>
    <w:rsid w:val="00820D26"/>
    <w:rsid w:val="00825B60"/>
    <w:rsid w:val="00835CC2"/>
    <w:rsid w:val="00842090"/>
    <w:rsid w:val="00842E15"/>
    <w:rsid w:val="00846C6D"/>
    <w:rsid w:val="0085700B"/>
    <w:rsid w:val="008654B5"/>
    <w:rsid w:val="0086628B"/>
    <w:rsid w:val="00866EE5"/>
    <w:rsid w:val="008736FF"/>
    <w:rsid w:val="008B147E"/>
    <w:rsid w:val="008D6886"/>
    <w:rsid w:val="008E062E"/>
    <w:rsid w:val="008E5306"/>
    <w:rsid w:val="008F31B3"/>
    <w:rsid w:val="008F5C36"/>
    <w:rsid w:val="008F60AD"/>
    <w:rsid w:val="009037A3"/>
    <w:rsid w:val="00922B9E"/>
    <w:rsid w:val="0093440C"/>
    <w:rsid w:val="009344E9"/>
    <w:rsid w:val="009372ED"/>
    <w:rsid w:val="00944927"/>
    <w:rsid w:val="00946BCF"/>
    <w:rsid w:val="00947E6B"/>
    <w:rsid w:val="0096612B"/>
    <w:rsid w:val="00966F8B"/>
    <w:rsid w:val="009870FA"/>
    <w:rsid w:val="009875CD"/>
    <w:rsid w:val="00994A09"/>
    <w:rsid w:val="009A6114"/>
    <w:rsid w:val="009C1E86"/>
    <w:rsid w:val="009D20C1"/>
    <w:rsid w:val="009D4C48"/>
    <w:rsid w:val="009E0D2D"/>
    <w:rsid w:val="009E4D45"/>
    <w:rsid w:val="00A00AA3"/>
    <w:rsid w:val="00A107E1"/>
    <w:rsid w:val="00A12A7C"/>
    <w:rsid w:val="00A2000B"/>
    <w:rsid w:val="00A20E1D"/>
    <w:rsid w:val="00A27DC5"/>
    <w:rsid w:val="00A313E2"/>
    <w:rsid w:val="00A34FC5"/>
    <w:rsid w:val="00A35B39"/>
    <w:rsid w:val="00A40417"/>
    <w:rsid w:val="00A4363F"/>
    <w:rsid w:val="00A44A28"/>
    <w:rsid w:val="00A56490"/>
    <w:rsid w:val="00A62498"/>
    <w:rsid w:val="00A632BC"/>
    <w:rsid w:val="00A8199E"/>
    <w:rsid w:val="00A82DAE"/>
    <w:rsid w:val="00AB2CC5"/>
    <w:rsid w:val="00AB353F"/>
    <w:rsid w:val="00AB363B"/>
    <w:rsid w:val="00AB6741"/>
    <w:rsid w:val="00AD49F0"/>
    <w:rsid w:val="00AF4F5D"/>
    <w:rsid w:val="00AF5424"/>
    <w:rsid w:val="00B05F30"/>
    <w:rsid w:val="00B314E5"/>
    <w:rsid w:val="00B37BD3"/>
    <w:rsid w:val="00B41E48"/>
    <w:rsid w:val="00B447A3"/>
    <w:rsid w:val="00B71613"/>
    <w:rsid w:val="00B716F6"/>
    <w:rsid w:val="00B82092"/>
    <w:rsid w:val="00B87CE7"/>
    <w:rsid w:val="00BA2834"/>
    <w:rsid w:val="00BA7488"/>
    <w:rsid w:val="00BC1AC1"/>
    <w:rsid w:val="00BC265D"/>
    <w:rsid w:val="00BE6861"/>
    <w:rsid w:val="00BF1F39"/>
    <w:rsid w:val="00BF46CB"/>
    <w:rsid w:val="00C040EE"/>
    <w:rsid w:val="00C112E2"/>
    <w:rsid w:val="00C12671"/>
    <w:rsid w:val="00C146FF"/>
    <w:rsid w:val="00C233BA"/>
    <w:rsid w:val="00C57E61"/>
    <w:rsid w:val="00C62524"/>
    <w:rsid w:val="00C75804"/>
    <w:rsid w:val="00C84F43"/>
    <w:rsid w:val="00C870FA"/>
    <w:rsid w:val="00C93DE4"/>
    <w:rsid w:val="00C94E31"/>
    <w:rsid w:val="00CA5462"/>
    <w:rsid w:val="00CB03CC"/>
    <w:rsid w:val="00CB096D"/>
    <w:rsid w:val="00CB4A3C"/>
    <w:rsid w:val="00CC4735"/>
    <w:rsid w:val="00CC681A"/>
    <w:rsid w:val="00CE79C9"/>
    <w:rsid w:val="00CF3CFE"/>
    <w:rsid w:val="00D05F9A"/>
    <w:rsid w:val="00D2072C"/>
    <w:rsid w:val="00D3492C"/>
    <w:rsid w:val="00D46078"/>
    <w:rsid w:val="00D63F18"/>
    <w:rsid w:val="00D64480"/>
    <w:rsid w:val="00D646DE"/>
    <w:rsid w:val="00D651A9"/>
    <w:rsid w:val="00D741F5"/>
    <w:rsid w:val="00D81760"/>
    <w:rsid w:val="00D84364"/>
    <w:rsid w:val="00DA215B"/>
    <w:rsid w:val="00DA7A4A"/>
    <w:rsid w:val="00DA7BB8"/>
    <w:rsid w:val="00DB6651"/>
    <w:rsid w:val="00DC63D2"/>
    <w:rsid w:val="00DD3115"/>
    <w:rsid w:val="00DD3197"/>
    <w:rsid w:val="00DD6821"/>
    <w:rsid w:val="00DD7ACB"/>
    <w:rsid w:val="00DD7CE2"/>
    <w:rsid w:val="00DE3AA0"/>
    <w:rsid w:val="00DE574E"/>
    <w:rsid w:val="00DE6CFB"/>
    <w:rsid w:val="00DF5DBF"/>
    <w:rsid w:val="00DF712A"/>
    <w:rsid w:val="00E070A2"/>
    <w:rsid w:val="00E15056"/>
    <w:rsid w:val="00E21377"/>
    <w:rsid w:val="00E27C4A"/>
    <w:rsid w:val="00E63540"/>
    <w:rsid w:val="00E63580"/>
    <w:rsid w:val="00E66453"/>
    <w:rsid w:val="00E8404E"/>
    <w:rsid w:val="00E8680C"/>
    <w:rsid w:val="00E876D2"/>
    <w:rsid w:val="00EB40B7"/>
    <w:rsid w:val="00EC4CD9"/>
    <w:rsid w:val="00ED58BA"/>
    <w:rsid w:val="00EE18D9"/>
    <w:rsid w:val="00EE7778"/>
    <w:rsid w:val="00EF19DD"/>
    <w:rsid w:val="00EF1E4A"/>
    <w:rsid w:val="00F26167"/>
    <w:rsid w:val="00F26B44"/>
    <w:rsid w:val="00F315F8"/>
    <w:rsid w:val="00F46CB0"/>
    <w:rsid w:val="00F46EE6"/>
    <w:rsid w:val="00F570FC"/>
    <w:rsid w:val="00F7055D"/>
    <w:rsid w:val="00F73132"/>
    <w:rsid w:val="00F83482"/>
    <w:rsid w:val="00F865DF"/>
    <w:rsid w:val="00F90FED"/>
    <w:rsid w:val="00F9358C"/>
    <w:rsid w:val="00FA0EE8"/>
    <w:rsid w:val="00FB0709"/>
    <w:rsid w:val="00FD26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397A98"/>
  <w15:docId w15:val="{52678159-0DCD-4A04-963E-C2D28181A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054AD"/>
    <w:pPr>
      <w:overflowPunct w:val="0"/>
      <w:autoSpaceDE w:val="0"/>
      <w:autoSpaceDN w:val="0"/>
      <w:adjustRightInd w:val="0"/>
      <w:spacing w:before="120" w:after="120"/>
      <w:jc w:val="both"/>
      <w:textAlignment w:val="baseline"/>
    </w:pPr>
  </w:style>
  <w:style w:type="paragraph" w:styleId="Heading1">
    <w:name w:val="heading 1"/>
    <w:basedOn w:val="Normal"/>
    <w:next w:val="BodyText1"/>
    <w:link w:val="Heading1Char"/>
    <w:qFormat/>
    <w:rsid w:val="00A35B39"/>
    <w:pPr>
      <w:keepNext/>
      <w:numPr>
        <w:numId w:val="2"/>
      </w:numPr>
      <w:jc w:val="center"/>
      <w:outlineLvl w:val="0"/>
    </w:pPr>
    <w:rPr>
      <w:b/>
      <w:kern w:val="28"/>
    </w:rPr>
  </w:style>
  <w:style w:type="paragraph" w:styleId="Heading2">
    <w:name w:val="heading 2"/>
    <w:basedOn w:val="Normal"/>
    <w:next w:val="BodyText2"/>
    <w:link w:val="Heading2Char"/>
    <w:qFormat/>
    <w:rsid w:val="00A35B39"/>
    <w:pPr>
      <w:keepNext/>
      <w:numPr>
        <w:ilvl w:val="1"/>
        <w:numId w:val="2"/>
      </w:numPr>
      <w:outlineLvl w:val="1"/>
    </w:pPr>
    <w:rPr>
      <w:b/>
    </w:rPr>
  </w:style>
  <w:style w:type="paragraph" w:styleId="Heading3">
    <w:name w:val="heading 3"/>
    <w:basedOn w:val="Normal"/>
    <w:next w:val="BodyText3"/>
    <w:link w:val="Heading3Char"/>
    <w:qFormat/>
    <w:rsid w:val="00A35B39"/>
    <w:pPr>
      <w:numPr>
        <w:ilvl w:val="2"/>
        <w:numId w:val="2"/>
      </w:numPr>
      <w:outlineLvl w:val="2"/>
    </w:pPr>
  </w:style>
  <w:style w:type="paragraph" w:styleId="Heading4">
    <w:name w:val="heading 4"/>
    <w:basedOn w:val="Normal"/>
    <w:next w:val="BodyText4"/>
    <w:link w:val="Heading4Char"/>
    <w:qFormat/>
    <w:rsid w:val="00A35B39"/>
    <w:pPr>
      <w:numPr>
        <w:ilvl w:val="3"/>
        <w:numId w:val="2"/>
      </w:numPr>
      <w:outlineLvl w:val="3"/>
    </w:pPr>
  </w:style>
  <w:style w:type="paragraph" w:styleId="Heading5">
    <w:name w:val="heading 5"/>
    <w:basedOn w:val="Normal"/>
    <w:next w:val="BodyText5"/>
    <w:link w:val="Heading5Char"/>
    <w:qFormat/>
    <w:rsid w:val="00A35B39"/>
    <w:pPr>
      <w:numPr>
        <w:ilvl w:val="4"/>
        <w:numId w:val="2"/>
      </w:numPr>
      <w:outlineLvl w:val="4"/>
    </w:pPr>
  </w:style>
  <w:style w:type="paragraph" w:styleId="Heading6">
    <w:name w:val="heading 6"/>
    <w:basedOn w:val="Normal"/>
    <w:next w:val="BodyText6"/>
    <w:link w:val="Heading6Char"/>
    <w:qFormat/>
    <w:rsid w:val="00A35B39"/>
    <w:pPr>
      <w:numPr>
        <w:ilvl w:val="5"/>
        <w:numId w:val="2"/>
      </w:numPr>
      <w:outlineLvl w:val="5"/>
    </w:pPr>
  </w:style>
  <w:style w:type="paragraph" w:styleId="Heading7">
    <w:name w:val="heading 7"/>
    <w:basedOn w:val="Normal"/>
    <w:next w:val="Normal"/>
    <w:link w:val="Heading7Char"/>
    <w:qFormat/>
    <w:rsid w:val="00A35B39"/>
    <w:pPr>
      <w:numPr>
        <w:ilvl w:val="6"/>
        <w:numId w:val="2"/>
      </w:numPr>
      <w:spacing w:before="240" w:after="60"/>
      <w:outlineLvl w:val="6"/>
    </w:pPr>
  </w:style>
  <w:style w:type="paragraph" w:styleId="Heading8">
    <w:name w:val="heading 8"/>
    <w:basedOn w:val="Normal"/>
    <w:next w:val="Normal"/>
    <w:link w:val="Heading8Char"/>
    <w:qFormat/>
    <w:rsid w:val="00A35B39"/>
    <w:pPr>
      <w:numPr>
        <w:ilvl w:val="7"/>
        <w:numId w:val="2"/>
      </w:numPr>
      <w:spacing w:before="240" w:after="60"/>
      <w:outlineLvl w:val="7"/>
    </w:pPr>
    <w:rPr>
      <w:i/>
    </w:rPr>
  </w:style>
  <w:style w:type="paragraph" w:styleId="Heading9">
    <w:name w:val="heading 9"/>
    <w:basedOn w:val="Normal"/>
    <w:next w:val="Normal"/>
    <w:link w:val="Heading9Char"/>
    <w:qFormat/>
    <w:rsid w:val="00A35B39"/>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5B39"/>
    <w:rPr>
      <w:color w:val="808080"/>
      <w:lang w:val="en-GB"/>
    </w:rPr>
  </w:style>
  <w:style w:type="paragraph" w:styleId="Header">
    <w:name w:val="header"/>
    <w:basedOn w:val="Normal"/>
    <w:link w:val="HeaderChar"/>
    <w:rsid w:val="004458E3"/>
    <w:pPr>
      <w:spacing w:before="240" w:after="0"/>
      <w:jc w:val="right"/>
    </w:pPr>
  </w:style>
  <w:style w:type="character" w:customStyle="1" w:styleId="HeaderChar">
    <w:name w:val="Header Char"/>
    <w:basedOn w:val="DefaultParagraphFont"/>
    <w:link w:val="Header"/>
    <w:rsid w:val="004458E3"/>
    <w:rPr>
      <w:lang w:val="en-GB"/>
    </w:rPr>
  </w:style>
  <w:style w:type="paragraph" w:styleId="Footer">
    <w:name w:val="footer"/>
    <w:basedOn w:val="Normal"/>
    <w:link w:val="FooterChar"/>
    <w:uiPriority w:val="99"/>
    <w:rsid w:val="00A35B39"/>
    <w:pPr>
      <w:tabs>
        <w:tab w:val="center" w:pos="4153"/>
        <w:tab w:val="right" w:pos="8306"/>
      </w:tabs>
      <w:ind w:left="720"/>
      <w:jc w:val="right"/>
    </w:pPr>
    <w:rPr>
      <w:sz w:val="12"/>
    </w:rPr>
  </w:style>
  <w:style w:type="character" w:customStyle="1" w:styleId="FooterChar">
    <w:name w:val="Footer Char"/>
    <w:basedOn w:val="DefaultParagraphFont"/>
    <w:link w:val="Footer"/>
    <w:uiPriority w:val="99"/>
    <w:rsid w:val="00A35B39"/>
    <w:rPr>
      <w:sz w:val="12"/>
      <w:lang w:val="en-GB"/>
    </w:rPr>
  </w:style>
  <w:style w:type="character" w:customStyle="1" w:styleId="Heading1Char">
    <w:name w:val="Heading 1 Char"/>
    <w:basedOn w:val="DefaultParagraphFont"/>
    <w:link w:val="Heading1"/>
    <w:rsid w:val="00A35B39"/>
    <w:rPr>
      <w:b/>
      <w:kern w:val="28"/>
      <w:lang w:val="en-GB"/>
    </w:rPr>
  </w:style>
  <w:style w:type="character" w:customStyle="1" w:styleId="Heading2Char">
    <w:name w:val="Heading 2 Char"/>
    <w:basedOn w:val="DefaultParagraphFont"/>
    <w:link w:val="Heading2"/>
    <w:rsid w:val="00A35B39"/>
    <w:rPr>
      <w:b/>
      <w:lang w:val="en-GB"/>
    </w:rPr>
  </w:style>
  <w:style w:type="character" w:customStyle="1" w:styleId="Heading3Char">
    <w:name w:val="Heading 3 Char"/>
    <w:basedOn w:val="DefaultParagraphFont"/>
    <w:link w:val="Heading3"/>
    <w:rsid w:val="00A35B39"/>
    <w:rPr>
      <w:lang w:val="en-GB"/>
    </w:rPr>
  </w:style>
  <w:style w:type="character" w:customStyle="1" w:styleId="Heading4Char">
    <w:name w:val="Heading 4 Char"/>
    <w:basedOn w:val="DefaultParagraphFont"/>
    <w:link w:val="Heading4"/>
    <w:rsid w:val="00A35B39"/>
    <w:rPr>
      <w:lang w:val="en-GB"/>
    </w:rPr>
  </w:style>
  <w:style w:type="character" w:customStyle="1" w:styleId="Heading5Char">
    <w:name w:val="Heading 5 Char"/>
    <w:basedOn w:val="DefaultParagraphFont"/>
    <w:link w:val="Heading5"/>
    <w:rsid w:val="00A35B39"/>
    <w:rPr>
      <w:lang w:val="en-GB"/>
    </w:rPr>
  </w:style>
  <w:style w:type="character" w:customStyle="1" w:styleId="Heading6Char">
    <w:name w:val="Heading 6 Char"/>
    <w:basedOn w:val="DefaultParagraphFont"/>
    <w:link w:val="Heading6"/>
    <w:rsid w:val="00A35B39"/>
    <w:rPr>
      <w:lang w:val="en-GB"/>
    </w:rPr>
  </w:style>
  <w:style w:type="character" w:customStyle="1" w:styleId="Heading7Char">
    <w:name w:val="Heading 7 Char"/>
    <w:basedOn w:val="DefaultParagraphFont"/>
    <w:link w:val="Heading7"/>
    <w:rsid w:val="00A35B39"/>
    <w:rPr>
      <w:lang w:val="en-GB"/>
    </w:rPr>
  </w:style>
  <w:style w:type="character" w:customStyle="1" w:styleId="Heading8Char">
    <w:name w:val="Heading 8 Char"/>
    <w:basedOn w:val="DefaultParagraphFont"/>
    <w:link w:val="Heading8"/>
    <w:rsid w:val="00A35B39"/>
    <w:rPr>
      <w:i/>
      <w:lang w:val="en-GB"/>
    </w:rPr>
  </w:style>
  <w:style w:type="character" w:customStyle="1" w:styleId="Heading9Char">
    <w:name w:val="Heading 9 Char"/>
    <w:basedOn w:val="DefaultParagraphFont"/>
    <w:link w:val="Heading9"/>
    <w:rsid w:val="00A35B39"/>
    <w:rPr>
      <w:b/>
      <w:i/>
      <w:sz w:val="18"/>
      <w:lang w:val="en-GB"/>
    </w:rPr>
  </w:style>
  <w:style w:type="paragraph" w:styleId="BodyText">
    <w:name w:val="Body Text"/>
    <w:basedOn w:val="Normal"/>
    <w:link w:val="BodyTextChar"/>
    <w:rsid w:val="00A35B39"/>
  </w:style>
  <w:style w:type="character" w:customStyle="1" w:styleId="BodyTextChar">
    <w:name w:val="Body Text Char"/>
    <w:basedOn w:val="DefaultParagraphFont"/>
    <w:link w:val="BodyText"/>
    <w:rsid w:val="00A35B39"/>
    <w:rPr>
      <w:lang w:val="en-GB"/>
    </w:rPr>
  </w:style>
  <w:style w:type="paragraph" w:customStyle="1" w:styleId="BodyText1">
    <w:name w:val="Body Text 1"/>
    <w:basedOn w:val="BodyText"/>
    <w:rsid w:val="00A35B39"/>
  </w:style>
  <w:style w:type="paragraph" w:styleId="BodyText2">
    <w:name w:val="Body Text 2"/>
    <w:basedOn w:val="BodyText"/>
    <w:link w:val="BodyText2Char"/>
    <w:rsid w:val="00A35B39"/>
    <w:pPr>
      <w:ind w:left="720"/>
    </w:pPr>
  </w:style>
  <w:style w:type="character" w:customStyle="1" w:styleId="BodyText2Char">
    <w:name w:val="Body Text 2 Char"/>
    <w:basedOn w:val="DefaultParagraphFont"/>
    <w:link w:val="BodyText2"/>
    <w:rsid w:val="00A35B39"/>
    <w:rPr>
      <w:lang w:val="en-GB"/>
    </w:rPr>
  </w:style>
  <w:style w:type="character" w:styleId="PageNumber">
    <w:name w:val="page number"/>
    <w:basedOn w:val="DefaultParagraphFont"/>
    <w:rsid w:val="00A35B39"/>
    <w:rPr>
      <w:rFonts w:ascii="Arial" w:hAnsi="Arial" w:cs="Arial"/>
      <w:sz w:val="16"/>
      <w:lang w:val="en-GB"/>
    </w:rPr>
  </w:style>
  <w:style w:type="paragraph" w:styleId="ListBullet">
    <w:name w:val="List Bullet"/>
    <w:basedOn w:val="Normal"/>
    <w:rsid w:val="00A35B39"/>
    <w:pPr>
      <w:numPr>
        <w:numId w:val="21"/>
      </w:numPr>
      <w:tabs>
        <w:tab w:val="left" w:pos="720"/>
      </w:tabs>
    </w:pPr>
  </w:style>
  <w:style w:type="paragraph" w:styleId="BodyText3">
    <w:name w:val="Body Text 3"/>
    <w:basedOn w:val="BodyText"/>
    <w:link w:val="BodyText3Char"/>
    <w:rsid w:val="00A35B39"/>
    <w:pPr>
      <w:ind w:left="720"/>
    </w:pPr>
  </w:style>
  <w:style w:type="character" w:customStyle="1" w:styleId="BodyText3Char">
    <w:name w:val="Body Text 3 Char"/>
    <w:basedOn w:val="DefaultParagraphFont"/>
    <w:link w:val="BodyText3"/>
    <w:rsid w:val="00A35B39"/>
    <w:rPr>
      <w:lang w:val="en-GB"/>
    </w:rPr>
  </w:style>
  <w:style w:type="paragraph" w:customStyle="1" w:styleId="BodyText4">
    <w:name w:val="Body Text 4"/>
    <w:basedOn w:val="BodyText"/>
    <w:rsid w:val="00A35B39"/>
    <w:pPr>
      <w:ind w:left="1440"/>
    </w:pPr>
  </w:style>
  <w:style w:type="paragraph" w:customStyle="1" w:styleId="BodyText5">
    <w:name w:val="Body Text 5"/>
    <w:basedOn w:val="BodyText"/>
    <w:rsid w:val="00A35B39"/>
    <w:pPr>
      <w:ind w:left="2160"/>
    </w:pPr>
  </w:style>
  <w:style w:type="paragraph" w:customStyle="1" w:styleId="BodyText6">
    <w:name w:val="Body Text 6"/>
    <w:basedOn w:val="Normal"/>
    <w:rsid w:val="00A35B39"/>
    <w:pPr>
      <w:ind w:left="2880"/>
    </w:pPr>
  </w:style>
  <w:style w:type="numbering" w:styleId="111111">
    <w:name w:val="Outline List 2"/>
    <w:basedOn w:val="NoList"/>
    <w:rsid w:val="00A35B39"/>
    <w:pPr>
      <w:numPr>
        <w:numId w:val="18"/>
      </w:numPr>
    </w:pPr>
  </w:style>
  <w:style w:type="character" w:styleId="CommentReference">
    <w:name w:val="annotation reference"/>
    <w:basedOn w:val="DefaultParagraphFont"/>
    <w:semiHidden/>
    <w:rsid w:val="00A35B39"/>
    <w:rPr>
      <w:rFonts w:ascii="Arial Black" w:hAnsi="Arial Black"/>
      <w:color w:val="FF0000"/>
      <w:sz w:val="20"/>
      <w:lang w:val="en-GB"/>
    </w:rPr>
  </w:style>
  <w:style w:type="paragraph" w:styleId="CommentText">
    <w:name w:val="annotation text"/>
    <w:basedOn w:val="Normal"/>
    <w:next w:val="BodyText"/>
    <w:link w:val="CommentTextChar"/>
    <w:semiHidden/>
    <w:rsid w:val="00A35B39"/>
    <w:pPr>
      <w:jc w:val="left"/>
    </w:pPr>
    <w:rPr>
      <w:rFonts w:ascii="Arial Black" w:hAnsi="Arial Black"/>
      <w:color w:val="FF0000"/>
    </w:rPr>
  </w:style>
  <w:style w:type="character" w:customStyle="1" w:styleId="CommentTextChar">
    <w:name w:val="Comment Text Char"/>
    <w:basedOn w:val="DefaultParagraphFont"/>
    <w:link w:val="CommentText"/>
    <w:semiHidden/>
    <w:rsid w:val="00A35B39"/>
    <w:rPr>
      <w:rFonts w:ascii="Arial Black" w:hAnsi="Arial Black"/>
      <w:color w:val="FF0000"/>
      <w:lang w:val="en-GB"/>
    </w:rPr>
  </w:style>
  <w:style w:type="numbering" w:styleId="1ai">
    <w:name w:val="Outline List 1"/>
    <w:basedOn w:val="NoList"/>
    <w:rsid w:val="00A35B39"/>
    <w:pPr>
      <w:numPr>
        <w:numId w:val="19"/>
      </w:numPr>
    </w:pPr>
  </w:style>
  <w:style w:type="numbering" w:styleId="ArticleSection">
    <w:name w:val="Outline List 3"/>
    <w:basedOn w:val="NoList"/>
    <w:rsid w:val="00A35B39"/>
    <w:pPr>
      <w:numPr>
        <w:numId w:val="20"/>
      </w:numPr>
    </w:pPr>
  </w:style>
  <w:style w:type="paragraph" w:styleId="BalloonText">
    <w:name w:val="Balloon Text"/>
    <w:basedOn w:val="Normal"/>
    <w:link w:val="BalloonTextChar"/>
    <w:semiHidden/>
    <w:rsid w:val="00A35B39"/>
    <w:rPr>
      <w:rFonts w:ascii="Tahoma" w:hAnsi="Tahoma" w:cs="Tahoma"/>
      <w:sz w:val="16"/>
      <w:szCs w:val="16"/>
    </w:rPr>
  </w:style>
  <w:style w:type="character" w:customStyle="1" w:styleId="BalloonTextChar">
    <w:name w:val="Balloon Text Char"/>
    <w:basedOn w:val="DefaultParagraphFont"/>
    <w:link w:val="BalloonText"/>
    <w:semiHidden/>
    <w:rsid w:val="00A35B39"/>
    <w:rPr>
      <w:rFonts w:ascii="Tahoma" w:hAnsi="Tahoma" w:cs="Tahoma"/>
      <w:sz w:val="16"/>
      <w:szCs w:val="16"/>
      <w:lang w:val="en-GB"/>
    </w:rPr>
  </w:style>
  <w:style w:type="paragraph" w:styleId="BlockText">
    <w:name w:val="Block Text"/>
    <w:basedOn w:val="Normal"/>
    <w:rsid w:val="00A35B39"/>
    <w:pPr>
      <w:ind w:left="1440" w:right="1440"/>
    </w:pPr>
  </w:style>
  <w:style w:type="paragraph" w:styleId="BodyTextFirstIndent">
    <w:name w:val="Body Text First Indent"/>
    <w:basedOn w:val="BodyText"/>
    <w:link w:val="BodyTextFirstIndentChar"/>
    <w:rsid w:val="00A35B39"/>
    <w:pPr>
      <w:ind w:firstLine="210"/>
    </w:pPr>
  </w:style>
  <w:style w:type="character" w:customStyle="1" w:styleId="BodyTextFirstIndentChar">
    <w:name w:val="Body Text First Indent Char"/>
    <w:basedOn w:val="BodyTextChar"/>
    <w:link w:val="BodyTextFirstIndent"/>
    <w:rsid w:val="00A35B39"/>
    <w:rPr>
      <w:lang w:val="en-GB"/>
    </w:rPr>
  </w:style>
  <w:style w:type="paragraph" w:styleId="BodyTextIndent">
    <w:name w:val="Body Text Indent"/>
    <w:basedOn w:val="Normal"/>
    <w:link w:val="BodyTextIndentChar"/>
    <w:rsid w:val="00A35B39"/>
    <w:pPr>
      <w:ind w:left="283"/>
    </w:pPr>
  </w:style>
  <w:style w:type="character" w:customStyle="1" w:styleId="BodyTextIndentChar">
    <w:name w:val="Body Text Indent Char"/>
    <w:basedOn w:val="DefaultParagraphFont"/>
    <w:link w:val="BodyTextIndent"/>
    <w:rsid w:val="00A35B39"/>
    <w:rPr>
      <w:lang w:val="en-GB"/>
    </w:rPr>
  </w:style>
  <w:style w:type="paragraph" w:styleId="BodyTextFirstIndent2">
    <w:name w:val="Body Text First Indent 2"/>
    <w:basedOn w:val="BodyTextIndent"/>
    <w:link w:val="BodyTextFirstIndent2Char"/>
    <w:rsid w:val="00A35B39"/>
    <w:pPr>
      <w:ind w:firstLine="210"/>
    </w:pPr>
  </w:style>
  <w:style w:type="character" w:customStyle="1" w:styleId="BodyTextFirstIndent2Char">
    <w:name w:val="Body Text First Indent 2 Char"/>
    <w:basedOn w:val="BodyTextIndentChar"/>
    <w:link w:val="BodyTextFirstIndent2"/>
    <w:rsid w:val="00A35B39"/>
    <w:rPr>
      <w:lang w:val="en-GB"/>
    </w:rPr>
  </w:style>
  <w:style w:type="paragraph" w:styleId="BodyTextIndent2">
    <w:name w:val="Body Text Indent 2"/>
    <w:basedOn w:val="Normal"/>
    <w:link w:val="BodyTextIndent2Char"/>
    <w:rsid w:val="00A35B39"/>
    <w:pPr>
      <w:spacing w:line="480" w:lineRule="auto"/>
      <w:ind w:left="283"/>
    </w:pPr>
  </w:style>
  <w:style w:type="character" w:customStyle="1" w:styleId="BodyTextIndent2Char">
    <w:name w:val="Body Text Indent 2 Char"/>
    <w:basedOn w:val="DefaultParagraphFont"/>
    <w:link w:val="BodyTextIndent2"/>
    <w:rsid w:val="00A35B39"/>
    <w:rPr>
      <w:lang w:val="en-GB"/>
    </w:rPr>
  </w:style>
  <w:style w:type="paragraph" w:styleId="BodyTextIndent3">
    <w:name w:val="Body Text Indent 3"/>
    <w:basedOn w:val="Normal"/>
    <w:link w:val="BodyTextIndent3Char"/>
    <w:rsid w:val="00A35B39"/>
    <w:pPr>
      <w:ind w:left="283"/>
    </w:pPr>
    <w:rPr>
      <w:sz w:val="16"/>
      <w:szCs w:val="16"/>
    </w:rPr>
  </w:style>
  <w:style w:type="character" w:customStyle="1" w:styleId="BodyTextIndent3Char">
    <w:name w:val="Body Text Indent 3 Char"/>
    <w:basedOn w:val="DefaultParagraphFont"/>
    <w:link w:val="BodyTextIndent3"/>
    <w:rsid w:val="00A35B39"/>
    <w:rPr>
      <w:sz w:val="16"/>
      <w:szCs w:val="16"/>
      <w:lang w:val="en-GB"/>
    </w:rPr>
  </w:style>
  <w:style w:type="paragraph" w:styleId="Caption">
    <w:name w:val="caption"/>
    <w:basedOn w:val="Normal"/>
    <w:next w:val="Normal"/>
    <w:rsid w:val="00A35B39"/>
    <w:rPr>
      <w:b/>
      <w:bCs/>
    </w:rPr>
  </w:style>
  <w:style w:type="paragraph" w:styleId="Closing">
    <w:name w:val="Closing"/>
    <w:basedOn w:val="Normal"/>
    <w:link w:val="ClosingChar"/>
    <w:rsid w:val="00A35B39"/>
    <w:pPr>
      <w:ind w:left="4252"/>
    </w:pPr>
  </w:style>
  <w:style w:type="character" w:customStyle="1" w:styleId="ClosingChar">
    <w:name w:val="Closing Char"/>
    <w:basedOn w:val="DefaultParagraphFont"/>
    <w:link w:val="Closing"/>
    <w:rsid w:val="00A35B39"/>
    <w:rPr>
      <w:lang w:val="en-GB"/>
    </w:rPr>
  </w:style>
  <w:style w:type="paragraph" w:styleId="CommentSubject">
    <w:name w:val="annotation subject"/>
    <w:basedOn w:val="CommentText"/>
    <w:next w:val="CommentText"/>
    <w:link w:val="CommentSubjectChar"/>
    <w:semiHidden/>
    <w:rsid w:val="00A35B39"/>
    <w:pPr>
      <w:jc w:val="both"/>
    </w:pPr>
    <w:rPr>
      <w:rFonts w:ascii="Arial" w:hAnsi="Arial"/>
      <w:b/>
      <w:bCs/>
    </w:rPr>
  </w:style>
  <w:style w:type="character" w:customStyle="1" w:styleId="CommentSubjectChar">
    <w:name w:val="Comment Subject Char"/>
    <w:basedOn w:val="CommentTextChar"/>
    <w:link w:val="CommentSubject"/>
    <w:semiHidden/>
    <w:rsid w:val="00A35B39"/>
    <w:rPr>
      <w:rFonts w:ascii="Arial" w:hAnsi="Arial"/>
      <w:b/>
      <w:bCs/>
      <w:color w:val="FF0000"/>
      <w:lang w:val="en-GB"/>
    </w:rPr>
  </w:style>
  <w:style w:type="paragraph" w:styleId="Date">
    <w:name w:val="Date"/>
    <w:basedOn w:val="Normal"/>
    <w:next w:val="Normal"/>
    <w:link w:val="DateChar"/>
    <w:rsid w:val="00A35B39"/>
  </w:style>
  <w:style w:type="character" w:customStyle="1" w:styleId="DateChar">
    <w:name w:val="Date Char"/>
    <w:basedOn w:val="DefaultParagraphFont"/>
    <w:link w:val="Date"/>
    <w:rsid w:val="00A35B39"/>
    <w:rPr>
      <w:lang w:val="en-GB"/>
    </w:rPr>
  </w:style>
  <w:style w:type="paragraph" w:styleId="DocumentMap">
    <w:name w:val="Document Map"/>
    <w:basedOn w:val="Normal"/>
    <w:link w:val="DocumentMapChar"/>
    <w:semiHidden/>
    <w:rsid w:val="00A35B39"/>
    <w:pPr>
      <w:shd w:val="clear" w:color="auto" w:fill="000080"/>
    </w:pPr>
    <w:rPr>
      <w:rFonts w:ascii="Tahoma" w:hAnsi="Tahoma" w:cs="Tahoma"/>
    </w:rPr>
  </w:style>
  <w:style w:type="character" w:customStyle="1" w:styleId="DocumentMapChar">
    <w:name w:val="Document Map Char"/>
    <w:basedOn w:val="DefaultParagraphFont"/>
    <w:link w:val="DocumentMap"/>
    <w:semiHidden/>
    <w:rsid w:val="00A35B39"/>
    <w:rPr>
      <w:rFonts w:ascii="Tahoma" w:hAnsi="Tahoma" w:cs="Tahoma"/>
      <w:shd w:val="clear" w:color="auto" w:fill="000080"/>
      <w:lang w:val="en-GB"/>
    </w:rPr>
  </w:style>
  <w:style w:type="paragraph" w:styleId="E-mailSignature">
    <w:name w:val="E-mail Signature"/>
    <w:basedOn w:val="Normal"/>
    <w:link w:val="E-mailSignatureChar"/>
    <w:rsid w:val="00A35B39"/>
  </w:style>
  <w:style w:type="character" w:customStyle="1" w:styleId="E-mailSignatureChar">
    <w:name w:val="E-mail Signature Char"/>
    <w:basedOn w:val="DefaultParagraphFont"/>
    <w:link w:val="E-mailSignature"/>
    <w:rsid w:val="00A35B39"/>
    <w:rPr>
      <w:lang w:val="en-GB"/>
    </w:rPr>
  </w:style>
  <w:style w:type="character" w:styleId="Emphasis">
    <w:name w:val="Emphasis"/>
    <w:basedOn w:val="DefaultParagraphFont"/>
    <w:rsid w:val="00A35B39"/>
    <w:rPr>
      <w:i/>
      <w:iCs/>
      <w:lang w:val="en-GB"/>
    </w:rPr>
  </w:style>
  <w:style w:type="character" w:styleId="EndnoteReference">
    <w:name w:val="endnote reference"/>
    <w:basedOn w:val="DefaultParagraphFont"/>
    <w:semiHidden/>
    <w:rsid w:val="00A35B39"/>
    <w:rPr>
      <w:vertAlign w:val="superscript"/>
      <w:lang w:val="en-GB"/>
    </w:rPr>
  </w:style>
  <w:style w:type="paragraph" w:styleId="EndnoteText">
    <w:name w:val="endnote text"/>
    <w:basedOn w:val="Normal"/>
    <w:link w:val="EndnoteTextChar"/>
    <w:semiHidden/>
    <w:rsid w:val="00A35B39"/>
  </w:style>
  <w:style w:type="character" w:customStyle="1" w:styleId="EndnoteTextChar">
    <w:name w:val="Endnote Text Char"/>
    <w:basedOn w:val="DefaultParagraphFont"/>
    <w:link w:val="EndnoteText"/>
    <w:semiHidden/>
    <w:rsid w:val="00A35B39"/>
    <w:rPr>
      <w:lang w:val="en-GB"/>
    </w:rPr>
  </w:style>
  <w:style w:type="paragraph" w:styleId="EnvelopeAddress">
    <w:name w:val="envelope address"/>
    <w:basedOn w:val="Normal"/>
    <w:rsid w:val="00A35B39"/>
    <w:pPr>
      <w:framePr w:w="7920" w:h="1980" w:hRule="exact" w:hSpace="180" w:wrap="auto" w:hAnchor="page" w:xAlign="center" w:yAlign="bottom"/>
      <w:ind w:left="2880"/>
    </w:pPr>
    <w:rPr>
      <w:szCs w:val="24"/>
    </w:rPr>
  </w:style>
  <w:style w:type="paragraph" w:styleId="EnvelopeReturn">
    <w:name w:val="envelope return"/>
    <w:basedOn w:val="Normal"/>
    <w:rsid w:val="00A35B39"/>
  </w:style>
  <w:style w:type="character" w:styleId="FollowedHyperlink">
    <w:name w:val="FollowedHyperlink"/>
    <w:basedOn w:val="DefaultParagraphFont"/>
    <w:rsid w:val="00A35B39"/>
    <w:rPr>
      <w:color w:val="800080"/>
      <w:u w:val="single"/>
      <w:lang w:val="en-GB"/>
    </w:rPr>
  </w:style>
  <w:style w:type="character" w:styleId="FootnoteReference">
    <w:name w:val="footnote reference"/>
    <w:basedOn w:val="DefaultParagraphFont"/>
    <w:uiPriority w:val="99"/>
    <w:rsid w:val="00A35B39"/>
    <w:rPr>
      <w:vertAlign w:val="superscript"/>
      <w:lang w:val="en-GB"/>
    </w:rPr>
  </w:style>
  <w:style w:type="paragraph" w:styleId="FootnoteText">
    <w:name w:val="footnote text"/>
    <w:basedOn w:val="Normal"/>
    <w:link w:val="FootnoteTextChar"/>
    <w:uiPriority w:val="99"/>
    <w:rsid w:val="00A35B39"/>
    <w:pPr>
      <w:spacing w:before="0" w:after="0"/>
    </w:pPr>
    <w:rPr>
      <w:sz w:val="16"/>
    </w:rPr>
  </w:style>
  <w:style w:type="character" w:customStyle="1" w:styleId="FootnoteTextChar">
    <w:name w:val="Footnote Text Char"/>
    <w:basedOn w:val="DefaultParagraphFont"/>
    <w:link w:val="FootnoteText"/>
    <w:uiPriority w:val="99"/>
    <w:rsid w:val="00A35B39"/>
    <w:rPr>
      <w:sz w:val="16"/>
      <w:lang w:val="en-GB"/>
    </w:rPr>
  </w:style>
  <w:style w:type="character" w:styleId="HTMLAcronym">
    <w:name w:val="HTML Acronym"/>
    <w:basedOn w:val="DefaultParagraphFont"/>
    <w:rsid w:val="00A35B39"/>
    <w:rPr>
      <w:lang w:val="en-GB"/>
    </w:rPr>
  </w:style>
  <w:style w:type="paragraph" w:styleId="HTMLAddress">
    <w:name w:val="HTML Address"/>
    <w:basedOn w:val="Normal"/>
    <w:link w:val="HTMLAddressChar"/>
    <w:rsid w:val="00A35B39"/>
    <w:rPr>
      <w:i/>
      <w:iCs/>
    </w:rPr>
  </w:style>
  <w:style w:type="character" w:customStyle="1" w:styleId="HTMLAddressChar">
    <w:name w:val="HTML Address Char"/>
    <w:basedOn w:val="DefaultParagraphFont"/>
    <w:link w:val="HTMLAddress"/>
    <w:rsid w:val="00A35B39"/>
    <w:rPr>
      <w:i/>
      <w:iCs/>
      <w:lang w:val="en-GB"/>
    </w:rPr>
  </w:style>
  <w:style w:type="character" w:styleId="HTMLCite">
    <w:name w:val="HTML Cite"/>
    <w:basedOn w:val="DefaultParagraphFont"/>
    <w:rsid w:val="00A35B39"/>
    <w:rPr>
      <w:i/>
      <w:iCs/>
      <w:lang w:val="en-GB"/>
    </w:rPr>
  </w:style>
  <w:style w:type="character" w:styleId="HTMLCode">
    <w:name w:val="HTML Code"/>
    <w:basedOn w:val="DefaultParagraphFont"/>
    <w:rsid w:val="00A35B39"/>
    <w:rPr>
      <w:rFonts w:ascii="Courier New" w:hAnsi="Courier New" w:cs="Courier New"/>
      <w:sz w:val="20"/>
      <w:szCs w:val="20"/>
      <w:lang w:val="en-GB"/>
    </w:rPr>
  </w:style>
  <w:style w:type="character" w:styleId="HTMLDefinition">
    <w:name w:val="HTML Definition"/>
    <w:basedOn w:val="DefaultParagraphFont"/>
    <w:rsid w:val="00A35B39"/>
    <w:rPr>
      <w:i/>
      <w:iCs/>
      <w:lang w:val="en-GB"/>
    </w:rPr>
  </w:style>
  <w:style w:type="character" w:styleId="HTMLKeyboard">
    <w:name w:val="HTML Keyboard"/>
    <w:basedOn w:val="DefaultParagraphFont"/>
    <w:rsid w:val="00A35B39"/>
    <w:rPr>
      <w:rFonts w:ascii="Courier New" w:hAnsi="Courier New" w:cs="Courier New"/>
      <w:sz w:val="20"/>
      <w:szCs w:val="20"/>
      <w:lang w:val="en-GB"/>
    </w:rPr>
  </w:style>
  <w:style w:type="paragraph" w:styleId="HTMLPreformatted">
    <w:name w:val="HTML Preformatted"/>
    <w:basedOn w:val="Normal"/>
    <w:link w:val="HTMLPreformattedChar"/>
    <w:rsid w:val="00A35B39"/>
    <w:rPr>
      <w:rFonts w:ascii="Courier New" w:hAnsi="Courier New" w:cs="Courier New"/>
    </w:rPr>
  </w:style>
  <w:style w:type="character" w:customStyle="1" w:styleId="HTMLPreformattedChar">
    <w:name w:val="HTML Preformatted Char"/>
    <w:basedOn w:val="DefaultParagraphFont"/>
    <w:link w:val="HTMLPreformatted"/>
    <w:rsid w:val="00A35B39"/>
    <w:rPr>
      <w:rFonts w:ascii="Courier New" w:hAnsi="Courier New" w:cs="Courier New"/>
      <w:lang w:val="en-GB"/>
    </w:rPr>
  </w:style>
  <w:style w:type="character" w:styleId="HTMLSample">
    <w:name w:val="HTML Sample"/>
    <w:basedOn w:val="DefaultParagraphFont"/>
    <w:rsid w:val="00A35B39"/>
    <w:rPr>
      <w:rFonts w:ascii="Courier New" w:hAnsi="Courier New" w:cs="Courier New"/>
      <w:lang w:val="en-GB"/>
    </w:rPr>
  </w:style>
  <w:style w:type="character" w:styleId="HTMLTypewriter">
    <w:name w:val="HTML Typewriter"/>
    <w:basedOn w:val="DefaultParagraphFont"/>
    <w:rsid w:val="00A35B39"/>
    <w:rPr>
      <w:rFonts w:ascii="Courier New" w:hAnsi="Courier New" w:cs="Courier New"/>
      <w:sz w:val="20"/>
      <w:szCs w:val="20"/>
      <w:lang w:val="en-GB"/>
    </w:rPr>
  </w:style>
  <w:style w:type="character" w:styleId="HTMLVariable">
    <w:name w:val="HTML Variable"/>
    <w:basedOn w:val="DefaultParagraphFont"/>
    <w:rsid w:val="00A35B39"/>
    <w:rPr>
      <w:i/>
      <w:iCs/>
      <w:lang w:val="en-GB"/>
    </w:rPr>
  </w:style>
  <w:style w:type="character" w:styleId="Hyperlink">
    <w:name w:val="Hyperlink"/>
    <w:basedOn w:val="DefaultParagraphFont"/>
    <w:rsid w:val="00A35B39"/>
    <w:rPr>
      <w:color w:val="0000FF"/>
      <w:u w:val="single"/>
      <w:lang w:val="en-GB"/>
    </w:rPr>
  </w:style>
  <w:style w:type="paragraph" w:styleId="Index1">
    <w:name w:val="index 1"/>
    <w:basedOn w:val="Normal"/>
    <w:next w:val="Normal"/>
    <w:autoRedefine/>
    <w:semiHidden/>
    <w:rsid w:val="00A35B39"/>
    <w:pPr>
      <w:ind w:left="240" w:hanging="240"/>
    </w:pPr>
  </w:style>
  <w:style w:type="paragraph" w:styleId="Index2">
    <w:name w:val="index 2"/>
    <w:basedOn w:val="Normal"/>
    <w:next w:val="Normal"/>
    <w:autoRedefine/>
    <w:semiHidden/>
    <w:rsid w:val="00A35B39"/>
    <w:pPr>
      <w:ind w:left="480" w:hanging="240"/>
    </w:pPr>
  </w:style>
  <w:style w:type="paragraph" w:styleId="Index3">
    <w:name w:val="index 3"/>
    <w:basedOn w:val="Normal"/>
    <w:next w:val="Normal"/>
    <w:autoRedefine/>
    <w:semiHidden/>
    <w:rsid w:val="00A35B39"/>
    <w:pPr>
      <w:ind w:left="720" w:hanging="240"/>
    </w:pPr>
  </w:style>
  <w:style w:type="paragraph" w:styleId="Index4">
    <w:name w:val="index 4"/>
    <w:basedOn w:val="Normal"/>
    <w:next w:val="Normal"/>
    <w:autoRedefine/>
    <w:semiHidden/>
    <w:rsid w:val="00A35B39"/>
    <w:pPr>
      <w:ind w:left="960" w:hanging="240"/>
    </w:pPr>
  </w:style>
  <w:style w:type="paragraph" w:styleId="Index5">
    <w:name w:val="index 5"/>
    <w:basedOn w:val="Normal"/>
    <w:next w:val="Normal"/>
    <w:autoRedefine/>
    <w:semiHidden/>
    <w:rsid w:val="00A35B39"/>
    <w:pPr>
      <w:ind w:left="1200" w:hanging="240"/>
    </w:pPr>
  </w:style>
  <w:style w:type="paragraph" w:styleId="Index6">
    <w:name w:val="index 6"/>
    <w:basedOn w:val="Normal"/>
    <w:next w:val="Normal"/>
    <w:autoRedefine/>
    <w:semiHidden/>
    <w:rsid w:val="00A35B39"/>
    <w:pPr>
      <w:ind w:left="1440" w:hanging="240"/>
    </w:pPr>
  </w:style>
  <w:style w:type="paragraph" w:styleId="Index7">
    <w:name w:val="index 7"/>
    <w:basedOn w:val="Normal"/>
    <w:next w:val="Normal"/>
    <w:autoRedefine/>
    <w:semiHidden/>
    <w:rsid w:val="00A35B39"/>
    <w:pPr>
      <w:ind w:left="1680" w:hanging="240"/>
    </w:pPr>
  </w:style>
  <w:style w:type="paragraph" w:styleId="Index8">
    <w:name w:val="index 8"/>
    <w:basedOn w:val="Normal"/>
    <w:next w:val="Normal"/>
    <w:autoRedefine/>
    <w:semiHidden/>
    <w:rsid w:val="00A35B39"/>
    <w:pPr>
      <w:ind w:left="1920" w:hanging="240"/>
    </w:pPr>
  </w:style>
  <w:style w:type="paragraph" w:styleId="Index9">
    <w:name w:val="index 9"/>
    <w:basedOn w:val="Normal"/>
    <w:next w:val="Normal"/>
    <w:autoRedefine/>
    <w:semiHidden/>
    <w:rsid w:val="00A35B39"/>
    <w:pPr>
      <w:ind w:left="2160" w:hanging="240"/>
    </w:pPr>
  </w:style>
  <w:style w:type="paragraph" w:styleId="IndexHeading">
    <w:name w:val="index heading"/>
    <w:basedOn w:val="Normal"/>
    <w:next w:val="Index1"/>
    <w:semiHidden/>
    <w:rsid w:val="00A35B39"/>
    <w:rPr>
      <w:b/>
      <w:bCs/>
    </w:rPr>
  </w:style>
  <w:style w:type="character" w:styleId="LineNumber">
    <w:name w:val="line number"/>
    <w:basedOn w:val="DefaultParagraphFont"/>
    <w:rsid w:val="00A35B39"/>
    <w:rPr>
      <w:lang w:val="en-GB"/>
    </w:rPr>
  </w:style>
  <w:style w:type="paragraph" w:styleId="List">
    <w:name w:val="List"/>
    <w:basedOn w:val="Normal"/>
    <w:rsid w:val="00A35B39"/>
    <w:pPr>
      <w:ind w:left="283" w:hanging="283"/>
    </w:pPr>
  </w:style>
  <w:style w:type="paragraph" w:styleId="List2">
    <w:name w:val="List 2"/>
    <w:basedOn w:val="Normal"/>
    <w:rsid w:val="00A35B39"/>
    <w:pPr>
      <w:ind w:left="566" w:hanging="283"/>
    </w:pPr>
  </w:style>
  <w:style w:type="paragraph" w:styleId="List3">
    <w:name w:val="List 3"/>
    <w:basedOn w:val="Normal"/>
    <w:rsid w:val="00A35B39"/>
    <w:pPr>
      <w:ind w:left="849" w:hanging="283"/>
    </w:pPr>
  </w:style>
  <w:style w:type="paragraph" w:styleId="List4">
    <w:name w:val="List 4"/>
    <w:basedOn w:val="Normal"/>
    <w:rsid w:val="00A35B39"/>
    <w:pPr>
      <w:ind w:left="1132" w:hanging="283"/>
    </w:pPr>
  </w:style>
  <w:style w:type="paragraph" w:styleId="List5">
    <w:name w:val="List 5"/>
    <w:basedOn w:val="Normal"/>
    <w:rsid w:val="00A35B39"/>
    <w:pPr>
      <w:ind w:left="1415" w:hanging="283"/>
    </w:pPr>
  </w:style>
  <w:style w:type="paragraph" w:styleId="ListBullet2">
    <w:name w:val="List Bullet 2"/>
    <w:basedOn w:val="Normal"/>
    <w:autoRedefine/>
    <w:rsid w:val="00A35B39"/>
    <w:pPr>
      <w:numPr>
        <w:numId w:val="9"/>
      </w:numPr>
      <w:tabs>
        <w:tab w:val="clear" w:pos="643"/>
        <w:tab w:val="num" w:pos="926"/>
      </w:tabs>
      <w:ind w:left="926"/>
    </w:pPr>
  </w:style>
  <w:style w:type="paragraph" w:styleId="ListBullet3">
    <w:name w:val="List Bullet 3"/>
    <w:basedOn w:val="Normal"/>
    <w:autoRedefine/>
    <w:rsid w:val="00A35B39"/>
    <w:pPr>
      <w:numPr>
        <w:numId w:val="10"/>
      </w:numPr>
      <w:tabs>
        <w:tab w:val="clear" w:pos="926"/>
        <w:tab w:val="num" w:pos="1209"/>
      </w:tabs>
      <w:ind w:left="1209"/>
    </w:pPr>
  </w:style>
  <w:style w:type="paragraph" w:styleId="ListBullet4">
    <w:name w:val="List Bullet 4"/>
    <w:basedOn w:val="Normal"/>
    <w:autoRedefine/>
    <w:rsid w:val="00A35B39"/>
    <w:pPr>
      <w:numPr>
        <w:numId w:val="11"/>
      </w:numPr>
    </w:pPr>
  </w:style>
  <w:style w:type="paragraph" w:styleId="ListBullet5">
    <w:name w:val="List Bullet 5"/>
    <w:basedOn w:val="Normal"/>
    <w:autoRedefine/>
    <w:rsid w:val="00A35B39"/>
    <w:pPr>
      <w:numPr>
        <w:numId w:val="12"/>
      </w:numPr>
    </w:pPr>
  </w:style>
  <w:style w:type="paragraph" w:styleId="ListContinue">
    <w:name w:val="List Continue"/>
    <w:basedOn w:val="Normal"/>
    <w:rsid w:val="00A35B39"/>
    <w:pPr>
      <w:ind w:left="283"/>
    </w:pPr>
  </w:style>
  <w:style w:type="paragraph" w:styleId="ListContinue2">
    <w:name w:val="List Continue 2"/>
    <w:basedOn w:val="Normal"/>
    <w:rsid w:val="00A35B39"/>
    <w:pPr>
      <w:ind w:left="566"/>
    </w:pPr>
  </w:style>
  <w:style w:type="paragraph" w:styleId="ListContinue3">
    <w:name w:val="List Continue 3"/>
    <w:basedOn w:val="Normal"/>
    <w:rsid w:val="00A35B39"/>
    <w:pPr>
      <w:ind w:left="849"/>
    </w:pPr>
  </w:style>
  <w:style w:type="paragraph" w:styleId="ListContinue4">
    <w:name w:val="List Continue 4"/>
    <w:basedOn w:val="Normal"/>
    <w:rsid w:val="00A35B39"/>
    <w:pPr>
      <w:ind w:left="1132"/>
    </w:pPr>
  </w:style>
  <w:style w:type="paragraph" w:styleId="ListContinue5">
    <w:name w:val="List Continue 5"/>
    <w:basedOn w:val="Normal"/>
    <w:rsid w:val="00A35B39"/>
    <w:pPr>
      <w:ind w:left="1415"/>
    </w:pPr>
  </w:style>
  <w:style w:type="paragraph" w:styleId="ListNumber">
    <w:name w:val="List Number"/>
    <w:basedOn w:val="Normal"/>
    <w:rsid w:val="00A35B39"/>
    <w:pPr>
      <w:numPr>
        <w:numId w:val="13"/>
      </w:numPr>
      <w:tabs>
        <w:tab w:val="clear" w:pos="360"/>
        <w:tab w:val="num" w:pos="1492"/>
      </w:tabs>
      <w:ind w:left="1492"/>
    </w:pPr>
  </w:style>
  <w:style w:type="paragraph" w:styleId="ListNumber2">
    <w:name w:val="List Number 2"/>
    <w:basedOn w:val="Normal"/>
    <w:rsid w:val="00A35B39"/>
    <w:pPr>
      <w:numPr>
        <w:numId w:val="14"/>
      </w:numPr>
      <w:tabs>
        <w:tab w:val="clear" w:pos="643"/>
      </w:tabs>
      <w:ind w:left="720" w:hanging="720"/>
    </w:pPr>
  </w:style>
  <w:style w:type="paragraph" w:styleId="ListNumber3">
    <w:name w:val="List Number 3"/>
    <w:basedOn w:val="Normal"/>
    <w:rsid w:val="00A35B39"/>
    <w:pPr>
      <w:numPr>
        <w:numId w:val="15"/>
      </w:numPr>
      <w:tabs>
        <w:tab w:val="clear" w:pos="926"/>
      </w:tabs>
      <w:ind w:left="720" w:hanging="720"/>
    </w:pPr>
  </w:style>
  <w:style w:type="paragraph" w:styleId="ListNumber4">
    <w:name w:val="List Number 4"/>
    <w:basedOn w:val="Normal"/>
    <w:rsid w:val="00A35B39"/>
    <w:pPr>
      <w:numPr>
        <w:numId w:val="16"/>
      </w:numPr>
      <w:tabs>
        <w:tab w:val="clear" w:pos="1209"/>
        <w:tab w:val="num" w:pos="0"/>
      </w:tabs>
      <w:ind w:left="720" w:hanging="720"/>
    </w:pPr>
  </w:style>
  <w:style w:type="paragraph" w:styleId="ListNumber5">
    <w:name w:val="List Number 5"/>
    <w:basedOn w:val="Normal"/>
    <w:rsid w:val="00A35B39"/>
    <w:pPr>
      <w:numPr>
        <w:numId w:val="17"/>
      </w:numPr>
      <w:tabs>
        <w:tab w:val="clear" w:pos="1492"/>
        <w:tab w:val="num" w:pos="360"/>
      </w:tabs>
      <w:ind w:left="0" w:firstLine="0"/>
    </w:pPr>
  </w:style>
  <w:style w:type="paragraph" w:styleId="MacroText">
    <w:name w:val="macro"/>
    <w:link w:val="MacroTextChar"/>
    <w:semiHidden/>
    <w:rsid w:val="00A35B3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120" w:after="120"/>
      <w:jc w:val="both"/>
      <w:textAlignment w:val="baseline"/>
    </w:pPr>
    <w:rPr>
      <w:rFonts w:ascii="Courier New" w:eastAsia="Times New Roman" w:hAnsi="Courier New" w:cs="Courier New"/>
    </w:rPr>
  </w:style>
  <w:style w:type="character" w:customStyle="1" w:styleId="MacroTextChar">
    <w:name w:val="Macro Text Char"/>
    <w:basedOn w:val="DefaultParagraphFont"/>
    <w:link w:val="MacroText"/>
    <w:semiHidden/>
    <w:rsid w:val="00A35B39"/>
    <w:rPr>
      <w:rFonts w:ascii="Courier New" w:eastAsia="Times New Roman" w:hAnsi="Courier New" w:cs="Courier New"/>
      <w:lang w:val="en-GB"/>
    </w:rPr>
  </w:style>
  <w:style w:type="paragraph" w:styleId="MessageHeader">
    <w:name w:val="Message Header"/>
    <w:basedOn w:val="Normal"/>
    <w:link w:val="MessageHeaderChar"/>
    <w:rsid w:val="00A35B39"/>
    <w:pPr>
      <w:pBdr>
        <w:top w:val="single" w:sz="6" w:space="1" w:color="auto"/>
        <w:left w:val="single" w:sz="6" w:space="1" w:color="auto"/>
        <w:bottom w:val="single" w:sz="6" w:space="1" w:color="auto"/>
        <w:right w:val="single" w:sz="6" w:space="1" w:color="auto"/>
      </w:pBdr>
      <w:shd w:val="pct20" w:color="auto" w:fill="auto"/>
      <w:ind w:left="1134" w:hanging="1134"/>
    </w:pPr>
    <w:rPr>
      <w:szCs w:val="24"/>
    </w:rPr>
  </w:style>
  <w:style w:type="character" w:customStyle="1" w:styleId="MessageHeaderChar">
    <w:name w:val="Message Header Char"/>
    <w:basedOn w:val="DefaultParagraphFont"/>
    <w:link w:val="MessageHeader"/>
    <w:rsid w:val="00A35B39"/>
    <w:rPr>
      <w:szCs w:val="24"/>
      <w:shd w:val="pct20" w:color="auto" w:fill="auto"/>
      <w:lang w:val="en-GB"/>
    </w:rPr>
  </w:style>
  <w:style w:type="paragraph" w:styleId="NormalWeb">
    <w:name w:val="Normal (Web)"/>
    <w:basedOn w:val="Normal"/>
    <w:rsid w:val="00A35B39"/>
    <w:rPr>
      <w:szCs w:val="24"/>
    </w:rPr>
  </w:style>
  <w:style w:type="paragraph" w:styleId="NormalIndent">
    <w:name w:val="Normal Indent"/>
    <w:basedOn w:val="Normal"/>
    <w:rsid w:val="00A35B39"/>
    <w:pPr>
      <w:ind w:left="720"/>
    </w:pPr>
  </w:style>
  <w:style w:type="paragraph" w:styleId="NoteHeading">
    <w:name w:val="Note Heading"/>
    <w:basedOn w:val="Normal"/>
    <w:next w:val="Normal"/>
    <w:link w:val="NoteHeadingChar"/>
    <w:rsid w:val="00A35B39"/>
  </w:style>
  <w:style w:type="character" w:customStyle="1" w:styleId="NoteHeadingChar">
    <w:name w:val="Note Heading Char"/>
    <w:basedOn w:val="DefaultParagraphFont"/>
    <w:link w:val="NoteHeading"/>
    <w:rsid w:val="00A35B39"/>
    <w:rPr>
      <w:lang w:val="en-GB"/>
    </w:rPr>
  </w:style>
  <w:style w:type="paragraph" w:styleId="PlainText">
    <w:name w:val="Plain Text"/>
    <w:basedOn w:val="Normal"/>
    <w:link w:val="PlainTextChar"/>
    <w:rsid w:val="00A35B39"/>
    <w:rPr>
      <w:rFonts w:ascii="Courier New" w:hAnsi="Courier New" w:cs="Courier New"/>
    </w:rPr>
  </w:style>
  <w:style w:type="character" w:customStyle="1" w:styleId="PlainTextChar">
    <w:name w:val="Plain Text Char"/>
    <w:basedOn w:val="DefaultParagraphFont"/>
    <w:link w:val="PlainText"/>
    <w:rsid w:val="00A35B39"/>
    <w:rPr>
      <w:rFonts w:ascii="Courier New" w:hAnsi="Courier New" w:cs="Courier New"/>
      <w:lang w:val="en-GB"/>
    </w:rPr>
  </w:style>
  <w:style w:type="paragraph" w:styleId="Salutation">
    <w:name w:val="Salutation"/>
    <w:basedOn w:val="Normal"/>
    <w:next w:val="Normal"/>
    <w:link w:val="SalutationChar"/>
    <w:rsid w:val="00A35B39"/>
  </w:style>
  <w:style w:type="character" w:customStyle="1" w:styleId="SalutationChar">
    <w:name w:val="Salutation Char"/>
    <w:basedOn w:val="DefaultParagraphFont"/>
    <w:link w:val="Salutation"/>
    <w:rsid w:val="00A35B39"/>
    <w:rPr>
      <w:lang w:val="en-GB"/>
    </w:rPr>
  </w:style>
  <w:style w:type="paragraph" w:styleId="Signature">
    <w:name w:val="Signature"/>
    <w:basedOn w:val="Normal"/>
    <w:link w:val="SignatureChar"/>
    <w:rsid w:val="00A35B39"/>
    <w:pPr>
      <w:ind w:left="4252"/>
    </w:pPr>
  </w:style>
  <w:style w:type="character" w:customStyle="1" w:styleId="SignatureChar">
    <w:name w:val="Signature Char"/>
    <w:basedOn w:val="DefaultParagraphFont"/>
    <w:link w:val="Signature"/>
    <w:rsid w:val="00A35B39"/>
    <w:rPr>
      <w:lang w:val="en-GB"/>
    </w:rPr>
  </w:style>
  <w:style w:type="character" w:styleId="Strong">
    <w:name w:val="Strong"/>
    <w:basedOn w:val="DefaultParagraphFont"/>
    <w:qFormat/>
    <w:rsid w:val="00A35B39"/>
    <w:rPr>
      <w:b/>
      <w:bCs/>
      <w:lang w:val="en-GB"/>
    </w:rPr>
  </w:style>
  <w:style w:type="paragraph" w:styleId="Subtitle">
    <w:name w:val="Subtitle"/>
    <w:basedOn w:val="Normal"/>
    <w:link w:val="SubtitleChar"/>
    <w:qFormat/>
    <w:rsid w:val="00A35B39"/>
    <w:pPr>
      <w:spacing w:after="60"/>
      <w:jc w:val="center"/>
      <w:outlineLvl w:val="1"/>
    </w:pPr>
    <w:rPr>
      <w:szCs w:val="24"/>
    </w:rPr>
  </w:style>
  <w:style w:type="character" w:customStyle="1" w:styleId="SubtitleChar">
    <w:name w:val="Subtitle Char"/>
    <w:basedOn w:val="DefaultParagraphFont"/>
    <w:link w:val="Subtitle"/>
    <w:rsid w:val="00A35B39"/>
    <w:rPr>
      <w:szCs w:val="24"/>
      <w:lang w:val="en-GB"/>
    </w:rPr>
  </w:style>
  <w:style w:type="table" w:styleId="TableGrid">
    <w:name w:val="Table Grid"/>
    <w:basedOn w:val="TableNormal"/>
    <w:rsid w:val="00BC2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1">
    <w:name w:val="Grid Table 2 - Accent 21"/>
    <w:basedOn w:val="TableNormal"/>
    <w:uiPriority w:val="47"/>
    <w:rsid w:val="00BC265D"/>
    <w:tblPr>
      <w:tblStyleRowBandSize w:val="1"/>
      <w:tblStyleColBandSize w:val="1"/>
      <w:tblBorders>
        <w:top w:val="single" w:sz="2" w:space="0" w:color="CACACA" w:themeColor="accent2" w:themeTint="99"/>
        <w:bottom w:val="single" w:sz="2" w:space="0" w:color="CACACA" w:themeColor="accent2" w:themeTint="99"/>
        <w:insideH w:val="single" w:sz="2" w:space="0" w:color="CACACA" w:themeColor="accent2" w:themeTint="99"/>
        <w:insideV w:val="single" w:sz="2" w:space="0" w:color="CACACA" w:themeColor="accent2" w:themeTint="99"/>
      </w:tblBorders>
    </w:tblPr>
    <w:tblStylePr w:type="firstRow">
      <w:rPr>
        <w:b/>
        <w:bCs/>
      </w:rPr>
      <w:tblPr/>
      <w:tcPr>
        <w:tcBorders>
          <w:top w:val="nil"/>
          <w:bottom w:val="single" w:sz="12" w:space="0" w:color="CACACA" w:themeColor="accent2" w:themeTint="99"/>
          <w:insideH w:val="nil"/>
          <w:insideV w:val="nil"/>
        </w:tcBorders>
        <w:shd w:val="clear" w:color="auto" w:fill="FFFFFF" w:themeFill="background1"/>
      </w:tcPr>
    </w:tblStylePr>
    <w:tblStylePr w:type="lastRow">
      <w:rPr>
        <w:b/>
        <w:bCs/>
      </w:rPr>
      <w:tblPr/>
      <w:tcPr>
        <w:tcBorders>
          <w:top w:val="double" w:sz="2" w:space="0" w:color="CACAC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2" w:themeFillTint="33"/>
      </w:tcPr>
    </w:tblStylePr>
    <w:tblStylePr w:type="band1Horz">
      <w:tblPr/>
      <w:tcPr>
        <w:shd w:val="clear" w:color="auto" w:fill="EDEDED" w:themeFill="accent2" w:themeFillTint="33"/>
      </w:tcPr>
    </w:tblStylePr>
  </w:style>
  <w:style w:type="paragraph" w:styleId="TableofAuthorities">
    <w:name w:val="table of authorities"/>
    <w:basedOn w:val="Normal"/>
    <w:next w:val="Normal"/>
    <w:semiHidden/>
    <w:rsid w:val="00A35B39"/>
    <w:pPr>
      <w:ind w:left="240" w:hanging="240"/>
    </w:pPr>
  </w:style>
  <w:style w:type="paragraph" w:styleId="TableofFigures">
    <w:name w:val="table of figures"/>
    <w:basedOn w:val="Normal"/>
    <w:next w:val="Normal"/>
    <w:semiHidden/>
    <w:rsid w:val="00A35B39"/>
    <w:pPr>
      <w:ind w:left="480" w:hanging="480"/>
    </w:pPr>
  </w:style>
  <w:style w:type="paragraph" w:styleId="Title">
    <w:name w:val="Title"/>
    <w:basedOn w:val="Normal"/>
    <w:link w:val="TitleChar"/>
    <w:qFormat/>
    <w:rsid w:val="00A35B39"/>
    <w:pPr>
      <w:spacing w:before="240" w:after="60"/>
      <w:jc w:val="center"/>
      <w:outlineLvl w:val="0"/>
    </w:pPr>
    <w:rPr>
      <w:b/>
      <w:bCs/>
      <w:kern w:val="28"/>
      <w:sz w:val="32"/>
      <w:szCs w:val="32"/>
    </w:rPr>
  </w:style>
  <w:style w:type="character" w:customStyle="1" w:styleId="TitleChar">
    <w:name w:val="Title Char"/>
    <w:basedOn w:val="DefaultParagraphFont"/>
    <w:link w:val="Title"/>
    <w:rsid w:val="00A35B39"/>
    <w:rPr>
      <w:b/>
      <w:bCs/>
      <w:kern w:val="28"/>
      <w:sz w:val="32"/>
      <w:szCs w:val="32"/>
      <w:lang w:val="en-GB"/>
    </w:rPr>
  </w:style>
  <w:style w:type="paragraph" w:styleId="TOAHeading">
    <w:name w:val="toa heading"/>
    <w:basedOn w:val="Normal"/>
    <w:next w:val="Normal"/>
    <w:semiHidden/>
    <w:rsid w:val="00A35B39"/>
    <w:rPr>
      <w:b/>
      <w:bCs/>
      <w:szCs w:val="24"/>
    </w:rPr>
  </w:style>
  <w:style w:type="paragraph" w:styleId="TOC1">
    <w:name w:val="toc 1"/>
    <w:basedOn w:val="Normal"/>
    <w:semiHidden/>
    <w:rsid w:val="00A35B39"/>
    <w:pPr>
      <w:tabs>
        <w:tab w:val="right" w:leader="dot" w:pos="9072"/>
      </w:tabs>
      <w:spacing w:before="0" w:after="0"/>
      <w:jc w:val="left"/>
    </w:pPr>
  </w:style>
  <w:style w:type="paragraph" w:styleId="TOC2">
    <w:name w:val="toc 2"/>
    <w:basedOn w:val="Normal"/>
    <w:next w:val="Normal"/>
    <w:semiHidden/>
    <w:rsid w:val="00A35B39"/>
    <w:pPr>
      <w:tabs>
        <w:tab w:val="right" w:leader="dot" w:pos="8309"/>
      </w:tabs>
      <w:spacing w:before="0" w:after="0"/>
      <w:ind w:left="720"/>
      <w:jc w:val="left"/>
    </w:pPr>
  </w:style>
  <w:style w:type="paragraph" w:styleId="TOC3">
    <w:name w:val="toc 3"/>
    <w:basedOn w:val="Normal"/>
    <w:next w:val="Normal"/>
    <w:semiHidden/>
    <w:rsid w:val="00A35B39"/>
    <w:pPr>
      <w:tabs>
        <w:tab w:val="right" w:leader="dot" w:pos="8309"/>
      </w:tabs>
      <w:ind w:left="480"/>
    </w:pPr>
  </w:style>
  <w:style w:type="paragraph" w:styleId="TOC4">
    <w:name w:val="toc 4"/>
    <w:basedOn w:val="Normal"/>
    <w:next w:val="Normal"/>
    <w:semiHidden/>
    <w:rsid w:val="00A35B39"/>
    <w:pPr>
      <w:tabs>
        <w:tab w:val="right" w:leader="dot" w:pos="8309"/>
      </w:tabs>
      <w:ind w:left="720"/>
    </w:pPr>
  </w:style>
  <w:style w:type="paragraph" w:styleId="TOC5">
    <w:name w:val="toc 5"/>
    <w:basedOn w:val="Normal"/>
    <w:next w:val="Normal"/>
    <w:semiHidden/>
    <w:rsid w:val="00A35B39"/>
    <w:pPr>
      <w:tabs>
        <w:tab w:val="right" w:leader="dot" w:pos="8309"/>
      </w:tabs>
      <w:ind w:left="960"/>
    </w:pPr>
  </w:style>
  <w:style w:type="paragraph" w:styleId="TOC6">
    <w:name w:val="toc 6"/>
    <w:basedOn w:val="Normal"/>
    <w:next w:val="Normal"/>
    <w:semiHidden/>
    <w:rsid w:val="00A35B39"/>
    <w:pPr>
      <w:tabs>
        <w:tab w:val="right" w:leader="dot" w:pos="8309"/>
      </w:tabs>
      <w:ind w:left="1200"/>
    </w:pPr>
  </w:style>
  <w:style w:type="paragraph" w:styleId="TOC7">
    <w:name w:val="toc 7"/>
    <w:basedOn w:val="Normal"/>
    <w:next w:val="Normal"/>
    <w:semiHidden/>
    <w:rsid w:val="00A35B39"/>
    <w:pPr>
      <w:tabs>
        <w:tab w:val="right" w:leader="dot" w:pos="8309"/>
      </w:tabs>
    </w:pPr>
  </w:style>
  <w:style w:type="paragraph" w:styleId="TOC8">
    <w:name w:val="toc 8"/>
    <w:basedOn w:val="Normal"/>
    <w:next w:val="Normal"/>
    <w:semiHidden/>
    <w:rsid w:val="00A35B39"/>
    <w:pPr>
      <w:tabs>
        <w:tab w:val="right" w:leader="dot" w:pos="8309"/>
      </w:tabs>
      <w:ind w:left="1680"/>
    </w:pPr>
  </w:style>
  <w:style w:type="paragraph" w:styleId="TOC9">
    <w:name w:val="toc 9"/>
    <w:basedOn w:val="Normal"/>
    <w:next w:val="Normal"/>
    <w:semiHidden/>
    <w:rsid w:val="00A35B39"/>
    <w:pPr>
      <w:tabs>
        <w:tab w:val="right" w:leader="dot" w:pos="8309"/>
      </w:tabs>
      <w:ind w:left="1920"/>
    </w:pPr>
  </w:style>
  <w:style w:type="paragraph" w:customStyle="1" w:styleId="AgreementName">
    <w:name w:val="Agreement Name"/>
    <w:basedOn w:val="Normal"/>
    <w:rsid w:val="00A35B39"/>
    <w:pPr>
      <w:jc w:val="left"/>
    </w:pPr>
    <w:rPr>
      <w:b/>
      <w:sz w:val="32"/>
    </w:rPr>
  </w:style>
  <w:style w:type="paragraph" w:customStyle="1" w:styleId="AgreementName1">
    <w:name w:val="Agreement Name 1"/>
    <w:basedOn w:val="AgreementName"/>
    <w:rsid w:val="00A35B39"/>
    <w:pPr>
      <w:tabs>
        <w:tab w:val="left" w:pos="1633"/>
        <w:tab w:val="left" w:pos="5387"/>
      </w:tabs>
    </w:pPr>
    <w:rPr>
      <w:b w:val="0"/>
      <w:sz w:val="20"/>
    </w:rPr>
  </w:style>
  <w:style w:type="paragraph" w:customStyle="1" w:styleId="DocumentDated">
    <w:name w:val="Document Dated"/>
    <w:basedOn w:val="Normal"/>
    <w:rsid w:val="00A35B39"/>
    <w:pPr>
      <w:tabs>
        <w:tab w:val="right" w:pos="4320"/>
      </w:tabs>
      <w:spacing w:after="240"/>
      <w:ind w:left="1980"/>
    </w:pPr>
    <w:rPr>
      <w:b/>
      <w:sz w:val="30"/>
    </w:rPr>
  </w:style>
  <w:style w:type="paragraph" w:customStyle="1" w:styleId="DocumentHeader">
    <w:name w:val="Document Header"/>
    <w:basedOn w:val="Normal"/>
    <w:next w:val="Heading1"/>
    <w:rsid w:val="00A35B39"/>
    <w:pPr>
      <w:spacing w:after="240"/>
      <w:jc w:val="center"/>
    </w:pPr>
    <w:rPr>
      <w:b/>
      <w:sz w:val="30"/>
    </w:rPr>
  </w:style>
  <w:style w:type="paragraph" w:customStyle="1" w:styleId="Parties">
    <w:name w:val="Parties"/>
    <w:basedOn w:val="DocumentHeader"/>
    <w:rsid w:val="00A35B39"/>
    <w:pPr>
      <w:numPr>
        <w:numId w:val="22"/>
      </w:numPr>
      <w:tabs>
        <w:tab w:val="num" w:pos="720"/>
      </w:tabs>
      <w:spacing w:after="120"/>
      <w:jc w:val="both"/>
    </w:pPr>
    <w:rPr>
      <w:sz w:val="20"/>
    </w:rPr>
  </w:style>
  <w:style w:type="paragraph" w:customStyle="1" w:styleId="PartiesFrontSheet">
    <w:name w:val="Parties Front Sheet"/>
    <w:basedOn w:val="Parties"/>
    <w:rsid w:val="00A35B39"/>
    <w:pPr>
      <w:numPr>
        <w:numId w:val="0"/>
      </w:numPr>
    </w:pPr>
    <w:rPr>
      <w:b w:val="0"/>
    </w:rPr>
  </w:style>
  <w:style w:type="paragraph" w:customStyle="1" w:styleId="Recital">
    <w:name w:val="Recital"/>
    <w:basedOn w:val="BodyText"/>
    <w:rsid w:val="00A35B39"/>
    <w:pPr>
      <w:numPr>
        <w:numId w:val="23"/>
      </w:numPr>
      <w:tabs>
        <w:tab w:val="clear" w:pos="0"/>
        <w:tab w:val="num" w:pos="360"/>
      </w:tabs>
      <w:ind w:left="0" w:firstLine="0"/>
    </w:pPr>
  </w:style>
  <w:style w:type="paragraph" w:customStyle="1" w:styleId="Schedule">
    <w:name w:val="Schedule"/>
    <w:basedOn w:val="Heading1"/>
    <w:next w:val="BodyText1"/>
    <w:rsid w:val="00041495"/>
    <w:pPr>
      <w:numPr>
        <w:numId w:val="37"/>
      </w:numPr>
      <w:ind w:left="357" w:hanging="357"/>
      <w:outlineLvl w:val="9"/>
    </w:pPr>
    <w:rPr>
      <w:rFonts w:ascii="Arial" w:eastAsia="Times New Roman" w:hAnsi="Arial" w:cs="Arial"/>
    </w:rPr>
  </w:style>
  <w:style w:type="paragraph" w:customStyle="1" w:styleId="ScheduleText">
    <w:name w:val="Schedule Text"/>
    <w:basedOn w:val="BodyText1"/>
    <w:rsid w:val="00041495"/>
    <w:pPr>
      <w:numPr>
        <w:ilvl w:val="1"/>
        <w:numId w:val="37"/>
      </w:numPr>
    </w:pPr>
    <w:rPr>
      <w:rFonts w:ascii="Arial" w:eastAsia="Times New Roman" w:hAnsi="Arial" w:cs="Arial"/>
    </w:rPr>
  </w:style>
  <w:style w:type="paragraph" w:customStyle="1" w:styleId="ScheduleTextLevel2">
    <w:name w:val="Schedule Text Level 2"/>
    <w:basedOn w:val="Normal"/>
    <w:rsid w:val="00041495"/>
    <w:pPr>
      <w:numPr>
        <w:ilvl w:val="2"/>
        <w:numId w:val="37"/>
      </w:numPr>
      <w:overflowPunct/>
      <w:autoSpaceDE/>
      <w:autoSpaceDN/>
      <w:adjustRightInd/>
      <w:textAlignment w:val="auto"/>
    </w:pPr>
    <w:rPr>
      <w:rFonts w:ascii="Arial" w:eastAsia="Times New Roman" w:hAnsi="Arial" w:cs="Arial"/>
      <w:szCs w:val="24"/>
    </w:rPr>
  </w:style>
  <w:style w:type="numbering" w:customStyle="1" w:styleId="Schedules">
    <w:name w:val="Schedules"/>
    <w:uiPriority w:val="99"/>
    <w:rsid w:val="00041495"/>
    <w:pPr>
      <w:numPr>
        <w:numId w:val="32"/>
      </w:numPr>
    </w:pPr>
  </w:style>
  <w:style w:type="paragraph" w:styleId="Bibliography">
    <w:name w:val="Bibliography"/>
    <w:basedOn w:val="Normal"/>
    <w:next w:val="Normal"/>
    <w:uiPriority w:val="37"/>
    <w:semiHidden/>
    <w:unhideWhenUsed/>
    <w:rsid w:val="00B37BD3"/>
  </w:style>
  <w:style w:type="character" w:styleId="BookTitle">
    <w:name w:val="Book Title"/>
    <w:basedOn w:val="DefaultParagraphFont"/>
    <w:uiPriority w:val="33"/>
    <w:qFormat/>
    <w:rsid w:val="00B37BD3"/>
    <w:rPr>
      <w:b/>
      <w:bCs/>
      <w:smallCaps/>
      <w:spacing w:val="5"/>
      <w:lang w:val="en-GB"/>
    </w:rPr>
  </w:style>
  <w:style w:type="table" w:styleId="ColorfulGrid">
    <w:name w:val="Colorful Grid"/>
    <w:basedOn w:val="TableNormal"/>
    <w:uiPriority w:val="73"/>
    <w:rsid w:val="00B37B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37BD3"/>
    <w:rPr>
      <w:color w:val="000000" w:themeColor="text1"/>
    </w:rPr>
    <w:tblPr>
      <w:tblStyleRowBandSize w:val="1"/>
      <w:tblStyleColBandSize w:val="1"/>
      <w:tblBorders>
        <w:insideH w:val="single" w:sz="4" w:space="0" w:color="FFFFFF" w:themeColor="background1"/>
      </w:tblBorders>
    </w:tblPr>
    <w:tcPr>
      <w:shd w:val="clear" w:color="auto" w:fill="DEF0F5" w:themeFill="accent1" w:themeFillTint="33"/>
    </w:tcPr>
    <w:tblStylePr w:type="firstRow">
      <w:rPr>
        <w:b/>
        <w:bCs/>
      </w:rPr>
      <w:tblPr/>
      <w:tcPr>
        <w:shd w:val="clear" w:color="auto" w:fill="BEE2EB" w:themeFill="accent1" w:themeFillTint="66"/>
      </w:tcPr>
    </w:tblStylePr>
    <w:tblStylePr w:type="lastRow">
      <w:rPr>
        <w:b/>
        <w:bCs/>
        <w:color w:val="000000" w:themeColor="text1"/>
      </w:rPr>
      <w:tblPr/>
      <w:tcPr>
        <w:shd w:val="clear" w:color="auto" w:fill="BEE2EB" w:themeFill="accent1" w:themeFillTint="66"/>
      </w:tcPr>
    </w:tblStylePr>
    <w:tblStylePr w:type="firstCol">
      <w:rPr>
        <w:color w:val="FFFFFF" w:themeColor="background1"/>
      </w:rPr>
      <w:tblPr/>
      <w:tcPr>
        <w:shd w:val="clear" w:color="auto" w:fill="3395AD" w:themeFill="accent1" w:themeFillShade="BF"/>
      </w:tcPr>
    </w:tblStylePr>
    <w:tblStylePr w:type="lastCol">
      <w:rPr>
        <w:color w:val="FFFFFF" w:themeColor="background1"/>
      </w:rPr>
      <w:tblPr/>
      <w:tcPr>
        <w:shd w:val="clear" w:color="auto" w:fill="3395AD" w:themeFill="accent1" w:themeFillShade="BF"/>
      </w:tcPr>
    </w:tblStylePr>
    <w:tblStylePr w:type="band1Vert">
      <w:tblPr/>
      <w:tcPr>
        <w:shd w:val="clear" w:color="auto" w:fill="AEDCE7" w:themeFill="accent1" w:themeFillTint="7F"/>
      </w:tcPr>
    </w:tblStylePr>
    <w:tblStylePr w:type="band1Horz">
      <w:tblPr/>
      <w:tcPr>
        <w:shd w:val="clear" w:color="auto" w:fill="AEDCE7" w:themeFill="accent1" w:themeFillTint="7F"/>
      </w:tcPr>
    </w:tblStylePr>
  </w:style>
  <w:style w:type="table" w:styleId="ColorfulGrid-Accent2">
    <w:name w:val="Colorful Grid Accent 2"/>
    <w:basedOn w:val="TableNormal"/>
    <w:uiPriority w:val="73"/>
    <w:rsid w:val="00B37BD3"/>
    <w:rPr>
      <w:color w:val="000000" w:themeColor="text1"/>
    </w:rPr>
    <w:tblPr>
      <w:tblStyleRowBandSize w:val="1"/>
      <w:tblStyleColBandSize w:val="1"/>
      <w:tblBorders>
        <w:insideH w:val="single" w:sz="4" w:space="0" w:color="FFFFFF" w:themeColor="background1"/>
      </w:tblBorders>
    </w:tblPr>
    <w:tcPr>
      <w:shd w:val="clear" w:color="auto" w:fill="EDEDED" w:themeFill="accent2" w:themeFillTint="33"/>
    </w:tcPr>
    <w:tblStylePr w:type="firstRow">
      <w:rPr>
        <w:b/>
        <w:bCs/>
      </w:rPr>
      <w:tblPr/>
      <w:tcPr>
        <w:shd w:val="clear" w:color="auto" w:fill="DCDCDC" w:themeFill="accent2" w:themeFillTint="66"/>
      </w:tcPr>
    </w:tblStylePr>
    <w:tblStylePr w:type="lastRow">
      <w:rPr>
        <w:b/>
        <w:bCs/>
        <w:color w:val="000000" w:themeColor="text1"/>
      </w:rPr>
      <w:tblPr/>
      <w:tcPr>
        <w:shd w:val="clear" w:color="auto" w:fill="DCDCDC" w:themeFill="accent2" w:themeFillTint="66"/>
      </w:tcPr>
    </w:tblStylePr>
    <w:tblStylePr w:type="firstCol">
      <w:rPr>
        <w:color w:val="FFFFFF" w:themeColor="background1"/>
      </w:rPr>
      <w:tblPr/>
      <w:tcPr>
        <w:shd w:val="clear" w:color="auto" w:fill="7D7D7D" w:themeFill="accent2" w:themeFillShade="BF"/>
      </w:tcPr>
    </w:tblStylePr>
    <w:tblStylePr w:type="lastCol">
      <w:rPr>
        <w:color w:val="FFFFFF" w:themeColor="background1"/>
      </w:rPr>
      <w:tblPr/>
      <w:tcPr>
        <w:shd w:val="clear" w:color="auto" w:fill="7D7D7D" w:themeFill="accent2" w:themeFillShade="BF"/>
      </w:tcPr>
    </w:tblStylePr>
    <w:tblStylePr w:type="band1Vert">
      <w:tblPr/>
      <w:tcPr>
        <w:shd w:val="clear" w:color="auto" w:fill="D3D3D3" w:themeFill="accent2" w:themeFillTint="7F"/>
      </w:tcPr>
    </w:tblStylePr>
    <w:tblStylePr w:type="band1Horz">
      <w:tblPr/>
      <w:tcPr>
        <w:shd w:val="clear" w:color="auto" w:fill="D3D3D3" w:themeFill="accent2" w:themeFillTint="7F"/>
      </w:tcPr>
    </w:tblStylePr>
  </w:style>
  <w:style w:type="table" w:styleId="ColorfulGrid-Accent3">
    <w:name w:val="Colorful Grid Accent 3"/>
    <w:basedOn w:val="TableNormal"/>
    <w:uiPriority w:val="73"/>
    <w:rsid w:val="00B37BD3"/>
    <w:rPr>
      <w:color w:val="000000" w:themeColor="text1"/>
    </w:rPr>
    <w:tblPr>
      <w:tblStyleRowBandSize w:val="1"/>
      <w:tblStyleColBandSize w:val="1"/>
      <w:tblBorders>
        <w:insideH w:val="single" w:sz="4" w:space="0" w:color="FFFFFF" w:themeColor="background1"/>
      </w:tblBorders>
    </w:tblPr>
    <w:tcPr>
      <w:shd w:val="clear" w:color="auto" w:fill="E3EFEB" w:themeFill="accent3" w:themeFillTint="33"/>
    </w:tcPr>
    <w:tblStylePr w:type="firstRow">
      <w:rPr>
        <w:b/>
        <w:bCs/>
      </w:rPr>
      <w:tblPr/>
      <w:tcPr>
        <w:shd w:val="clear" w:color="auto" w:fill="C7E0D7" w:themeFill="accent3" w:themeFillTint="66"/>
      </w:tcPr>
    </w:tblStylePr>
    <w:tblStylePr w:type="lastRow">
      <w:rPr>
        <w:b/>
        <w:bCs/>
        <w:color w:val="000000" w:themeColor="text1"/>
      </w:rPr>
      <w:tblPr/>
      <w:tcPr>
        <w:shd w:val="clear" w:color="auto" w:fill="C7E0D7" w:themeFill="accent3" w:themeFillTint="66"/>
      </w:tcPr>
    </w:tblStylePr>
    <w:tblStylePr w:type="firstCol">
      <w:rPr>
        <w:color w:val="FFFFFF" w:themeColor="background1"/>
      </w:rPr>
      <w:tblPr/>
      <w:tcPr>
        <w:shd w:val="clear" w:color="auto" w:fill="4E8E77" w:themeFill="accent3" w:themeFillShade="BF"/>
      </w:tcPr>
    </w:tblStylePr>
    <w:tblStylePr w:type="lastCol">
      <w:rPr>
        <w:color w:val="FFFFFF" w:themeColor="background1"/>
      </w:rPr>
      <w:tblPr/>
      <w:tcPr>
        <w:shd w:val="clear" w:color="auto" w:fill="4E8E77" w:themeFill="accent3" w:themeFillShade="BF"/>
      </w:tcPr>
    </w:tblStylePr>
    <w:tblStylePr w:type="band1Vert">
      <w:tblPr/>
      <w:tcPr>
        <w:shd w:val="clear" w:color="auto" w:fill="BAD9CE" w:themeFill="accent3" w:themeFillTint="7F"/>
      </w:tcPr>
    </w:tblStylePr>
    <w:tblStylePr w:type="band1Horz">
      <w:tblPr/>
      <w:tcPr>
        <w:shd w:val="clear" w:color="auto" w:fill="BAD9CE" w:themeFill="accent3" w:themeFillTint="7F"/>
      </w:tcPr>
    </w:tblStylePr>
  </w:style>
  <w:style w:type="table" w:styleId="ColorfulGrid-Accent4">
    <w:name w:val="Colorful Grid Accent 4"/>
    <w:basedOn w:val="TableNormal"/>
    <w:uiPriority w:val="73"/>
    <w:rsid w:val="00B37BD3"/>
    <w:rPr>
      <w:color w:val="000000" w:themeColor="text1"/>
    </w:rPr>
    <w:tblPr>
      <w:tblStyleRowBandSize w:val="1"/>
      <w:tblStyleColBandSize w:val="1"/>
      <w:tblBorders>
        <w:insideH w:val="single" w:sz="4" w:space="0" w:color="FFFFFF" w:themeColor="background1"/>
      </w:tblBorders>
    </w:tblPr>
    <w:tcPr>
      <w:shd w:val="clear" w:color="auto" w:fill="F3C5CC" w:themeFill="accent4" w:themeFillTint="33"/>
    </w:tcPr>
    <w:tblStylePr w:type="firstRow">
      <w:rPr>
        <w:b/>
        <w:bCs/>
      </w:rPr>
      <w:tblPr/>
      <w:tcPr>
        <w:shd w:val="clear" w:color="auto" w:fill="E88B9A" w:themeFill="accent4" w:themeFillTint="66"/>
      </w:tcPr>
    </w:tblStylePr>
    <w:tblStylePr w:type="lastRow">
      <w:rPr>
        <w:b/>
        <w:bCs/>
        <w:color w:val="000000" w:themeColor="text1"/>
      </w:rPr>
      <w:tblPr/>
      <w:tcPr>
        <w:shd w:val="clear" w:color="auto" w:fill="E88B9A" w:themeFill="accent4" w:themeFillTint="66"/>
      </w:tcPr>
    </w:tblStylePr>
    <w:tblStylePr w:type="firstCol">
      <w:rPr>
        <w:color w:val="FFFFFF" w:themeColor="background1"/>
      </w:rPr>
      <w:tblPr/>
      <w:tcPr>
        <w:shd w:val="clear" w:color="auto" w:fill="661421" w:themeFill="accent4" w:themeFillShade="BF"/>
      </w:tcPr>
    </w:tblStylePr>
    <w:tblStylePr w:type="lastCol">
      <w:rPr>
        <w:color w:val="FFFFFF" w:themeColor="background1"/>
      </w:rPr>
      <w:tblPr/>
      <w:tcPr>
        <w:shd w:val="clear" w:color="auto" w:fill="661421" w:themeFill="accent4" w:themeFillShade="BF"/>
      </w:tcPr>
    </w:tblStylePr>
    <w:tblStylePr w:type="band1Vert">
      <w:tblPr/>
      <w:tcPr>
        <w:shd w:val="clear" w:color="auto" w:fill="E26F81" w:themeFill="accent4" w:themeFillTint="7F"/>
      </w:tcPr>
    </w:tblStylePr>
    <w:tblStylePr w:type="band1Horz">
      <w:tblPr/>
      <w:tcPr>
        <w:shd w:val="clear" w:color="auto" w:fill="E26F81" w:themeFill="accent4" w:themeFillTint="7F"/>
      </w:tcPr>
    </w:tblStylePr>
  </w:style>
  <w:style w:type="table" w:styleId="ColorfulGrid-Accent5">
    <w:name w:val="Colorful Grid Accent 5"/>
    <w:basedOn w:val="TableNormal"/>
    <w:uiPriority w:val="73"/>
    <w:rsid w:val="00B37BD3"/>
    <w:rPr>
      <w:color w:val="000000" w:themeColor="text1"/>
    </w:rPr>
    <w:tblPr>
      <w:tblStyleRowBandSize w:val="1"/>
      <w:tblStyleColBandSize w:val="1"/>
      <w:tblBorders>
        <w:insideH w:val="single" w:sz="4" w:space="0" w:color="FFFFFF" w:themeColor="background1"/>
      </w:tblBorders>
    </w:tblPr>
    <w:tcPr>
      <w:shd w:val="clear" w:color="auto" w:fill="E7EAC7" w:themeFill="accent5" w:themeFillTint="33"/>
    </w:tcPr>
    <w:tblStylePr w:type="firstRow">
      <w:rPr>
        <w:b/>
        <w:bCs/>
      </w:rPr>
      <w:tblPr/>
      <w:tcPr>
        <w:shd w:val="clear" w:color="auto" w:fill="CFD690" w:themeFill="accent5" w:themeFillTint="66"/>
      </w:tcPr>
    </w:tblStylePr>
    <w:tblStylePr w:type="lastRow">
      <w:rPr>
        <w:b/>
        <w:bCs/>
        <w:color w:val="000000" w:themeColor="text1"/>
      </w:rPr>
      <w:tblPr/>
      <w:tcPr>
        <w:shd w:val="clear" w:color="auto" w:fill="CFD690" w:themeFill="accent5" w:themeFillTint="66"/>
      </w:tcPr>
    </w:tblStylePr>
    <w:tblStylePr w:type="firstCol">
      <w:rPr>
        <w:color w:val="FFFFFF" w:themeColor="background1"/>
      </w:rPr>
      <w:tblPr/>
      <w:tcPr>
        <w:shd w:val="clear" w:color="auto" w:fill="44491B" w:themeFill="accent5" w:themeFillShade="BF"/>
      </w:tcPr>
    </w:tblStylePr>
    <w:tblStylePr w:type="lastCol">
      <w:rPr>
        <w:color w:val="FFFFFF" w:themeColor="background1"/>
      </w:rPr>
      <w:tblPr/>
      <w:tcPr>
        <w:shd w:val="clear" w:color="auto" w:fill="44491B" w:themeFill="accent5" w:themeFillShade="BF"/>
      </w:tcPr>
    </w:tblStylePr>
    <w:tblStylePr w:type="band1Vert">
      <w:tblPr/>
      <w:tcPr>
        <w:shd w:val="clear" w:color="auto" w:fill="C4CC76" w:themeFill="accent5" w:themeFillTint="7F"/>
      </w:tcPr>
    </w:tblStylePr>
    <w:tblStylePr w:type="band1Horz">
      <w:tblPr/>
      <w:tcPr>
        <w:shd w:val="clear" w:color="auto" w:fill="C4CC76" w:themeFill="accent5" w:themeFillTint="7F"/>
      </w:tcPr>
    </w:tblStylePr>
  </w:style>
  <w:style w:type="table" w:styleId="ColorfulGrid-Accent6">
    <w:name w:val="Colorful Grid Accent 6"/>
    <w:basedOn w:val="TableNormal"/>
    <w:uiPriority w:val="73"/>
    <w:rsid w:val="00B37BD3"/>
    <w:rPr>
      <w:color w:val="000000" w:themeColor="text1"/>
    </w:rPr>
    <w:tblPr>
      <w:tblStyleRowBandSize w:val="1"/>
      <w:tblStyleColBandSize w:val="1"/>
      <w:tblBorders>
        <w:insideH w:val="single" w:sz="4" w:space="0" w:color="FFFFFF" w:themeColor="background1"/>
      </w:tblBorders>
    </w:tblPr>
    <w:tcPr>
      <w:shd w:val="clear" w:color="auto" w:fill="BEF4E4" w:themeFill="accent6" w:themeFillTint="33"/>
    </w:tcPr>
    <w:tblStylePr w:type="firstRow">
      <w:rPr>
        <w:b/>
        <w:bCs/>
      </w:rPr>
      <w:tblPr/>
      <w:tcPr>
        <w:shd w:val="clear" w:color="auto" w:fill="7DE8CA" w:themeFill="accent6" w:themeFillTint="66"/>
      </w:tcPr>
    </w:tblStylePr>
    <w:tblStylePr w:type="lastRow">
      <w:rPr>
        <w:b/>
        <w:bCs/>
        <w:color w:val="000000" w:themeColor="text1"/>
      </w:rPr>
      <w:tblPr/>
      <w:tcPr>
        <w:shd w:val="clear" w:color="auto" w:fill="7DE8CA" w:themeFill="accent6" w:themeFillTint="66"/>
      </w:tcPr>
    </w:tblStylePr>
    <w:tblStylePr w:type="firstCol">
      <w:rPr>
        <w:color w:val="FFFFFF" w:themeColor="background1"/>
      </w:rPr>
      <w:tblPr/>
      <w:tcPr>
        <w:shd w:val="clear" w:color="auto" w:fill="0E533F" w:themeFill="accent6" w:themeFillShade="BF"/>
      </w:tcPr>
    </w:tblStylePr>
    <w:tblStylePr w:type="lastCol">
      <w:rPr>
        <w:color w:val="FFFFFF" w:themeColor="background1"/>
      </w:rPr>
      <w:tblPr/>
      <w:tcPr>
        <w:shd w:val="clear" w:color="auto" w:fill="0E533F" w:themeFill="accent6" w:themeFillShade="BF"/>
      </w:tcPr>
    </w:tblStylePr>
    <w:tblStylePr w:type="band1Vert">
      <w:tblPr/>
      <w:tcPr>
        <w:shd w:val="clear" w:color="auto" w:fill="5DE3BC" w:themeFill="accent6" w:themeFillTint="7F"/>
      </w:tcPr>
    </w:tblStylePr>
    <w:tblStylePr w:type="band1Horz">
      <w:tblPr/>
      <w:tcPr>
        <w:shd w:val="clear" w:color="auto" w:fill="5DE3BC" w:themeFill="accent6" w:themeFillTint="7F"/>
      </w:tcPr>
    </w:tblStylePr>
  </w:style>
  <w:style w:type="table" w:styleId="ColorfulList">
    <w:name w:val="Colorful List"/>
    <w:basedOn w:val="TableNormal"/>
    <w:uiPriority w:val="72"/>
    <w:rsid w:val="00B37B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68686" w:themeFill="accent2" w:themeFillShade="CC"/>
      </w:tcPr>
    </w:tblStylePr>
    <w:tblStylePr w:type="lastRow">
      <w:rPr>
        <w:b/>
        <w:bCs/>
        <w:color w:val="8686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37BD3"/>
    <w:rPr>
      <w:color w:val="000000" w:themeColor="text1"/>
    </w:rPr>
    <w:tblPr>
      <w:tblStyleRowBandSize w:val="1"/>
      <w:tblStyleColBandSize w:val="1"/>
    </w:tblPr>
    <w:tcPr>
      <w:shd w:val="clear" w:color="auto" w:fill="EFF8FA" w:themeFill="accent1" w:themeFillTint="19"/>
    </w:tcPr>
    <w:tblStylePr w:type="firstRow">
      <w:rPr>
        <w:b/>
        <w:bCs/>
        <w:color w:val="FFFFFF" w:themeColor="background1"/>
      </w:rPr>
      <w:tblPr/>
      <w:tcPr>
        <w:tcBorders>
          <w:bottom w:val="single" w:sz="12" w:space="0" w:color="FFFFFF" w:themeColor="background1"/>
        </w:tcBorders>
        <w:shd w:val="clear" w:color="auto" w:fill="868686" w:themeFill="accent2" w:themeFillShade="CC"/>
      </w:tcPr>
    </w:tblStylePr>
    <w:tblStylePr w:type="lastRow">
      <w:rPr>
        <w:b/>
        <w:bCs/>
        <w:color w:val="8686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DF3" w:themeFill="accent1" w:themeFillTint="3F"/>
      </w:tcPr>
    </w:tblStylePr>
    <w:tblStylePr w:type="band1Horz">
      <w:tblPr/>
      <w:tcPr>
        <w:shd w:val="clear" w:color="auto" w:fill="DEF0F5" w:themeFill="accent1" w:themeFillTint="33"/>
      </w:tcPr>
    </w:tblStylePr>
  </w:style>
  <w:style w:type="table" w:styleId="ColorfulList-Accent2">
    <w:name w:val="Colorful List Accent 2"/>
    <w:basedOn w:val="TableNormal"/>
    <w:uiPriority w:val="72"/>
    <w:rsid w:val="00B37BD3"/>
    <w:rPr>
      <w:color w:val="000000" w:themeColor="text1"/>
    </w:rPr>
    <w:tblPr>
      <w:tblStyleRowBandSize w:val="1"/>
      <w:tblStyleColBandSize w:val="1"/>
    </w:tblPr>
    <w:tcPr>
      <w:shd w:val="clear" w:color="auto" w:fill="F6F6F6" w:themeFill="accent2" w:themeFillTint="19"/>
    </w:tcPr>
    <w:tblStylePr w:type="firstRow">
      <w:rPr>
        <w:b/>
        <w:bCs/>
        <w:color w:val="FFFFFF" w:themeColor="background1"/>
      </w:rPr>
      <w:tblPr/>
      <w:tcPr>
        <w:tcBorders>
          <w:bottom w:val="single" w:sz="12" w:space="0" w:color="FFFFFF" w:themeColor="background1"/>
        </w:tcBorders>
        <w:shd w:val="clear" w:color="auto" w:fill="868686" w:themeFill="accent2" w:themeFillShade="CC"/>
      </w:tcPr>
    </w:tblStylePr>
    <w:tblStylePr w:type="lastRow">
      <w:rPr>
        <w:b/>
        <w:bCs/>
        <w:color w:val="8686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9E9" w:themeFill="accent2" w:themeFillTint="3F"/>
      </w:tcPr>
    </w:tblStylePr>
    <w:tblStylePr w:type="band1Horz">
      <w:tblPr/>
      <w:tcPr>
        <w:shd w:val="clear" w:color="auto" w:fill="EDEDED" w:themeFill="accent2" w:themeFillTint="33"/>
      </w:tcPr>
    </w:tblStylePr>
  </w:style>
  <w:style w:type="table" w:styleId="ColorfulList-Accent3">
    <w:name w:val="Colorful List Accent 3"/>
    <w:basedOn w:val="TableNormal"/>
    <w:uiPriority w:val="72"/>
    <w:rsid w:val="00B37BD3"/>
    <w:rPr>
      <w:color w:val="000000" w:themeColor="text1"/>
    </w:rPr>
    <w:tblPr>
      <w:tblStyleRowBandSize w:val="1"/>
      <w:tblStyleColBandSize w:val="1"/>
    </w:tblPr>
    <w:tcPr>
      <w:shd w:val="clear" w:color="auto" w:fill="F1F7F5" w:themeFill="accent3" w:themeFillTint="19"/>
    </w:tcPr>
    <w:tblStylePr w:type="firstRow">
      <w:rPr>
        <w:b/>
        <w:bCs/>
        <w:color w:val="FFFFFF" w:themeColor="background1"/>
      </w:rPr>
      <w:tblPr/>
      <w:tcPr>
        <w:tcBorders>
          <w:bottom w:val="single" w:sz="12" w:space="0" w:color="FFFFFF" w:themeColor="background1"/>
        </w:tcBorders>
        <w:shd w:val="clear" w:color="auto" w:fill="6D1523" w:themeFill="accent4" w:themeFillShade="CC"/>
      </w:tcPr>
    </w:tblStylePr>
    <w:tblStylePr w:type="lastRow">
      <w:rPr>
        <w:b/>
        <w:bCs/>
        <w:color w:val="6D152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CE6" w:themeFill="accent3" w:themeFillTint="3F"/>
      </w:tcPr>
    </w:tblStylePr>
    <w:tblStylePr w:type="band1Horz">
      <w:tblPr/>
      <w:tcPr>
        <w:shd w:val="clear" w:color="auto" w:fill="E3EFEB" w:themeFill="accent3" w:themeFillTint="33"/>
      </w:tcPr>
    </w:tblStylePr>
  </w:style>
  <w:style w:type="table" w:styleId="ColorfulList-Accent4">
    <w:name w:val="Colorful List Accent 4"/>
    <w:basedOn w:val="TableNormal"/>
    <w:uiPriority w:val="72"/>
    <w:rsid w:val="00B37BD3"/>
    <w:rPr>
      <w:color w:val="000000" w:themeColor="text1"/>
    </w:rPr>
    <w:tblPr>
      <w:tblStyleRowBandSize w:val="1"/>
      <w:tblStyleColBandSize w:val="1"/>
    </w:tblPr>
    <w:tcPr>
      <w:shd w:val="clear" w:color="auto" w:fill="F9E2E6" w:themeFill="accent4" w:themeFillTint="19"/>
    </w:tcPr>
    <w:tblStylePr w:type="firstRow">
      <w:rPr>
        <w:b/>
        <w:bCs/>
        <w:color w:val="FFFFFF" w:themeColor="background1"/>
      </w:rPr>
      <w:tblPr/>
      <w:tcPr>
        <w:tcBorders>
          <w:bottom w:val="single" w:sz="12" w:space="0" w:color="FFFFFF" w:themeColor="background1"/>
        </w:tcBorders>
        <w:shd w:val="clear" w:color="auto" w:fill="549880" w:themeFill="accent3" w:themeFillShade="CC"/>
      </w:tcPr>
    </w:tblStylePr>
    <w:tblStylePr w:type="lastRow">
      <w:rPr>
        <w:b/>
        <w:bCs/>
        <w:color w:val="54988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B7C0" w:themeFill="accent4" w:themeFillTint="3F"/>
      </w:tcPr>
    </w:tblStylePr>
    <w:tblStylePr w:type="band1Horz">
      <w:tblPr/>
      <w:tcPr>
        <w:shd w:val="clear" w:color="auto" w:fill="F3C5CC" w:themeFill="accent4" w:themeFillTint="33"/>
      </w:tcPr>
    </w:tblStylePr>
  </w:style>
  <w:style w:type="table" w:styleId="ColorfulList-Accent5">
    <w:name w:val="Colorful List Accent 5"/>
    <w:basedOn w:val="TableNormal"/>
    <w:uiPriority w:val="72"/>
    <w:rsid w:val="00B37BD3"/>
    <w:rPr>
      <w:color w:val="000000" w:themeColor="text1"/>
    </w:rPr>
    <w:tblPr>
      <w:tblStyleRowBandSize w:val="1"/>
      <w:tblStyleColBandSize w:val="1"/>
    </w:tblPr>
    <w:tcPr>
      <w:shd w:val="clear" w:color="auto" w:fill="F3F5E3" w:themeFill="accent5" w:themeFillTint="19"/>
    </w:tcPr>
    <w:tblStylePr w:type="firstRow">
      <w:rPr>
        <w:b/>
        <w:bCs/>
        <w:color w:val="FFFFFF" w:themeColor="background1"/>
      </w:rPr>
      <w:tblPr/>
      <w:tcPr>
        <w:tcBorders>
          <w:bottom w:val="single" w:sz="12" w:space="0" w:color="FFFFFF" w:themeColor="background1"/>
        </w:tcBorders>
        <w:shd w:val="clear" w:color="auto" w:fill="0F5843" w:themeFill="accent6" w:themeFillShade="CC"/>
      </w:tcPr>
    </w:tblStylePr>
    <w:tblStylePr w:type="lastRow">
      <w:rPr>
        <w:b/>
        <w:bCs/>
        <w:color w:val="0F584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6BB" w:themeFill="accent5" w:themeFillTint="3F"/>
      </w:tcPr>
    </w:tblStylePr>
    <w:tblStylePr w:type="band1Horz">
      <w:tblPr/>
      <w:tcPr>
        <w:shd w:val="clear" w:color="auto" w:fill="E7EAC7" w:themeFill="accent5" w:themeFillTint="33"/>
      </w:tcPr>
    </w:tblStylePr>
  </w:style>
  <w:style w:type="table" w:styleId="ColorfulList-Accent6">
    <w:name w:val="Colorful List Accent 6"/>
    <w:basedOn w:val="TableNormal"/>
    <w:uiPriority w:val="72"/>
    <w:rsid w:val="00B37BD3"/>
    <w:rPr>
      <w:color w:val="000000" w:themeColor="text1"/>
    </w:rPr>
    <w:tblPr>
      <w:tblStyleRowBandSize w:val="1"/>
      <w:tblStyleColBandSize w:val="1"/>
    </w:tblPr>
    <w:tcPr>
      <w:shd w:val="clear" w:color="auto" w:fill="DFF9F2" w:themeFill="accent6" w:themeFillTint="19"/>
    </w:tcPr>
    <w:tblStylePr w:type="firstRow">
      <w:rPr>
        <w:b/>
        <w:bCs/>
        <w:color w:val="FFFFFF" w:themeColor="background1"/>
      </w:rPr>
      <w:tblPr/>
      <w:tcPr>
        <w:tcBorders>
          <w:bottom w:val="single" w:sz="12" w:space="0" w:color="FFFFFF" w:themeColor="background1"/>
        </w:tcBorders>
        <w:shd w:val="clear" w:color="auto" w:fill="494E1C" w:themeFill="accent5" w:themeFillShade="CC"/>
      </w:tcPr>
    </w:tblStylePr>
    <w:tblStylePr w:type="lastRow">
      <w:rPr>
        <w:b/>
        <w:bCs/>
        <w:color w:val="494E1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F1DE" w:themeFill="accent6" w:themeFillTint="3F"/>
      </w:tcPr>
    </w:tblStylePr>
    <w:tblStylePr w:type="band1Horz">
      <w:tblPr/>
      <w:tcPr>
        <w:shd w:val="clear" w:color="auto" w:fill="BEF4E4" w:themeFill="accent6" w:themeFillTint="33"/>
      </w:tcPr>
    </w:tblStylePr>
  </w:style>
  <w:style w:type="table" w:styleId="ColorfulShading">
    <w:name w:val="Colorful Shading"/>
    <w:basedOn w:val="TableNormal"/>
    <w:uiPriority w:val="71"/>
    <w:rsid w:val="00B37BD3"/>
    <w:rPr>
      <w:color w:val="000000" w:themeColor="text1"/>
    </w:rPr>
    <w:tblPr>
      <w:tblStyleRowBandSize w:val="1"/>
      <w:tblStyleColBandSize w:val="1"/>
      <w:tblBorders>
        <w:top w:val="single" w:sz="24" w:space="0" w:color="A8A8A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8A8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37BD3"/>
    <w:rPr>
      <w:color w:val="000000" w:themeColor="text1"/>
    </w:rPr>
    <w:tblPr>
      <w:tblStyleRowBandSize w:val="1"/>
      <w:tblStyleColBandSize w:val="1"/>
      <w:tblBorders>
        <w:top w:val="single" w:sz="24" w:space="0" w:color="A8A8A8" w:themeColor="accent2"/>
        <w:left w:val="single" w:sz="4" w:space="0" w:color="5EB9CF" w:themeColor="accent1"/>
        <w:bottom w:val="single" w:sz="4" w:space="0" w:color="5EB9CF" w:themeColor="accent1"/>
        <w:right w:val="single" w:sz="4" w:space="0" w:color="5EB9CF" w:themeColor="accent1"/>
        <w:insideH w:val="single" w:sz="4" w:space="0" w:color="FFFFFF" w:themeColor="background1"/>
        <w:insideV w:val="single" w:sz="4" w:space="0" w:color="FFFFFF" w:themeColor="background1"/>
      </w:tblBorders>
    </w:tblPr>
    <w:tcPr>
      <w:shd w:val="clear" w:color="auto" w:fill="EFF8FA" w:themeFill="accent1" w:themeFillTint="19"/>
    </w:tcPr>
    <w:tblStylePr w:type="firstRow">
      <w:rPr>
        <w:b/>
        <w:bCs/>
      </w:rPr>
      <w:tblPr/>
      <w:tcPr>
        <w:tcBorders>
          <w:top w:val="nil"/>
          <w:left w:val="nil"/>
          <w:bottom w:val="single" w:sz="24" w:space="0" w:color="A8A8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778A" w:themeFill="accent1" w:themeFillShade="99"/>
      </w:tcPr>
    </w:tblStylePr>
    <w:tblStylePr w:type="firstCol">
      <w:rPr>
        <w:color w:val="FFFFFF" w:themeColor="background1"/>
      </w:rPr>
      <w:tblPr/>
      <w:tcPr>
        <w:tcBorders>
          <w:top w:val="nil"/>
          <w:left w:val="nil"/>
          <w:bottom w:val="nil"/>
          <w:right w:val="nil"/>
          <w:insideH w:val="single" w:sz="4" w:space="0" w:color="29778A" w:themeColor="accent1" w:themeShade="99"/>
          <w:insideV w:val="nil"/>
        </w:tcBorders>
        <w:shd w:val="clear" w:color="auto" w:fill="29778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9778A" w:themeFill="accent1" w:themeFillShade="99"/>
      </w:tcPr>
    </w:tblStylePr>
    <w:tblStylePr w:type="band1Vert">
      <w:tblPr/>
      <w:tcPr>
        <w:shd w:val="clear" w:color="auto" w:fill="BEE2EB" w:themeFill="accent1" w:themeFillTint="66"/>
      </w:tcPr>
    </w:tblStylePr>
    <w:tblStylePr w:type="band1Horz">
      <w:tblPr/>
      <w:tcPr>
        <w:shd w:val="clear" w:color="auto" w:fill="AEDCE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37BD3"/>
    <w:rPr>
      <w:color w:val="000000" w:themeColor="text1"/>
    </w:rPr>
    <w:tblPr>
      <w:tblStyleRowBandSize w:val="1"/>
      <w:tblStyleColBandSize w:val="1"/>
      <w:tblBorders>
        <w:top w:val="single" w:sz="24" w:space="0" w:color="A8A8A8" w:themeColor="accent2"/>
        <w:left w:val="single" w:sz="4" w:space="0" w:color="A8A8A8" w:themeColor="accent2"/>
        <w:bottom w:val="single" w:sz="4" w:space="0" w:color="A8A8A8" w:themeColor="accent2"/>
        <w:right w:val="single" w:sz="4" w:space="0" w:color="A8A8A8" w:themeColor="accent2"/>
        <w:insideH w:val="single" w:sz="4" w:space="0" w:color="FFFFFF" w:themeColor="background1"/>
        <w:insideV w:val="single" w:sz="4" w:space="0" w:color="FFFFFF" w:themeColor="background1"/>
      </w:tblBorders>
    </w:tblPr>
    <w:tcPr>
      <w:shd w:val="clear" w:color="auto" w:fill="F6F6F6" w:themeFill="accent2" w:themeFillTint="19"/>
    </w:tcPr>
    <w:tblStylePr w:type="firstRow">
      <w:rPr>
        <w:b/>
        <w:bCs/>
      </w:rPr>
      <w:tblPr/>
      <w:tcPr>
        <w:tcBorders>
          <w:top w:val="nil"/>
          <w:left w:val="nil"/>
          <w:bottom w:val="single" w:sz="24" w:space="0" w:color="A8A8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6464" w:themeFill="accent2" w:themeFillShade="99"/>
      </w:tcPr>
    </w:tblStylePr>
    <w:tblStylePr w:type="firstCol">
      <w:rPr>
        <w:color w:val="FFFFFF" w:themeColor="background1"/>
      </w:rPr>
      <w:tblPr/>
      <w:tcPr>
        <w:tcBorders>
          <w:top w:val="nil"/>
          <w:left w:val="nil"/>
          <w:bottom w:val="nil"/>
          <w:right w:val="nil"/>
          <w:insideH w:val="single" w:sz="4" w:space="0" w:color="646464" w:themeColor="accent2" w:themeShade="99"/>
          <w:insideV w:val="nil"/>
        </w:tcBorders>
        <w:shd w:val="clear" w:color="auto" w:fill="64646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46464" w:themeFill="accent2" w:themeFillShade="99"/>
      </w:tcPr>
    </w:tblStylePr>
    <w:tblStylePr w:type="band1Vert">
      <w:tblPr/>
      <w:tcPr>
        <w:shd w:val="clear" w:color="auto" w:fill="DCDCDC" w:themeFill="accent2" w:themeFillTint="66"/>
      </w:tcPr>
    </w:tblStylePr>
    <w:tblStylePr w:type="band1Horz">
      <w:tblPr/>
      <w:tcPr>
        <w:shd w:val="clear" w:color="auto" w:fill="D3D3D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37BD3"/>
    <w:rPr>
      <w:color w:val="000000" w:themeColor="text1"/>
    </w:rPr>
    <w:tblPr>
      <w:tblStyleRowBandSize w:val="1"/>
      <w:tblStyleColBandSize w:val="1"/>
      <w:tblBorders>
        <w:top w:val="single" w:sz="24" w:space="0" w:color="891B2D" w:themeColor="accent4"/>
        <w:left w:val="single" w:sz="4" w:space="0" w:color="75B39D" w:themeColor="accent3"/>
        <w:bottom w:val="single" w:sz="4" w:space="0" w:color="75B39D" w:themeColor="accent3"/>
        <w:right w:val="single" w:sz="4" w:space="0" w:color="75B39D" w:themeColor="accent3"/>
        <w:insideH w:val="single" w:sz="4" w:space="0" w:color="FFFFFF" w:themeColor="background1"/>
        <w:insideV w:val="single" w:sz="4" w:space="0" w:color="FFFFFF" w:themeColor="background1"/>
      </w:tblBorders>
    </w:tblPr>
    <w:tcPr>
      <w:shd w:val="clear" w:color="auto" w:fill="F1F7F5" w:themeFill="accent3" w:themeFillTint="19"/>
    </w:tcPr>
    <w:tblStylePr w:type="firstRow">
      <w:rPr>
        <w:b/>
        <w:bCs/>
      </w:rPr>
      <w:tblPr/>
      <w:tcPr>
        <w:tcBorders>
          <w:top w:val="nil"/>
          <w:left w:val="nil"/>
          <w:bottom w:val="single" w:sz="24" w:space="0" w:color="891B2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7260" w:themeFill="accent3" w:themeFillShade="99"/>
      </w:tcPr>
    </w:tblStylePr>
    <w:tblStylePr w:type="firstCol">
      <w:rPr>
        <w:color w:val="FFFFFF" w:themeColor="background1"/>
      </w:rPr>
      <w:tblPr/>
      <w:tcPr>
        <w:tcBorders>
          <w:top w:val="nil"/>
          <w:left w:val="nil"/>
          <w:bottom w:val="nil"/>
          <w:right w:val="nil"/>
          <w:insideH w:val="single" w:sz="4" w:space="0" w:color="3F7260" w:themeColor="accent3" w:themeShade="99"/>
          <w:insideV w:val="nil"/>
        </w:tcBorders>
        <w:shd w:val="clear" w:color="auto" w:fill="3F726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F7260" w:themeFill="accent3" w:themeFillShade="99"/>
      </w:tcPr>
    </w:tblStylePr>
    <w:tblStylePr w:type="band1Vert">
      <w:tblPr/>
      <w:tcPr>
        <w:shd w:val="clear" w:color="auto" w:fill="C7E0D7" w:themeFill="accent3" w:themeFillTint="66"/>
      </w:tcPr>
    </w:tblStylePr>
    <w:tblStylePr w:type="band1Horz">
      <w:tblPr/>
      <w:tcPr>
        <w:shd w:val="clear" w:color="auto" w:fill="BAD9CE" w:themeFill="accent3" w:themeFillTint="7F"/>
      </w:tcPr>
    </w:tblStylePr>
  </w:style>
  <w:style w:type="table" w:styleId="ColorfulShading-Accent4">
    <w:name w:val="Colorful Shading Accent 4"/>
    <w:basedOn w:val="TableNormal"/>
    <w:uiPriority w:val="71"/>
    <w:rsid w:val="00B37BD3"/>
    <w:rPr>
      <w:color w:val="000000" w:themeColor="text1"/>
    </w:rPr>
    <w:tblPr>
      <w:tblStyleRowBandSize w:val="1"/>
      <w:tblStyleColBandSize w:val="1"/>
      <w:tblBorders>
        <w:top w:val="single" w:sz="24" w:space="0" w:color="75B39D" w:themeColor="accent3"/>
        <w:left w:val="single" w:sz="4" w:space="0" w:color="891B2D" w:themeColor="accent4"/>
        <w:bottom w:val="single" w:sz="4" w:space="0" w:color="891B2D" w:themeColor="accent4"/>
        <w:right w:val="single" w:sz="4" w:space="0" w:color="891B2D" w:themeColor="accent4"/>
        <w:insideH w:val="single" w:sz="4" w:space="0" w:color="FFFFFF" w:themeColor="background1"/>
        <w:insideV w:val="single" w:sz="4" w:space="0" w:color="FFFFFF" w:themeColor="background1"/>
      </w:tblBorders>
    </w:tblPr>
    <w:tcPr>
      <w:shd w:val="clear" w:color="auto" w:fill="F9E2E6" w:themeFill="accent4" w:themeFillTint="19"/>
    </w:tcPr>
    <w:tblStylePr w:type="firstRow">
      <w:rPr>
        <w:b/>
        <w:bCs/>
      </w:rPr>
      <w:tblPr/>
      <w:tcPr>
        <w:tcBorders>
          <w:top w:val="nil"/>
          <w:left w:val="nil"/>
          <w:bottom w:val="single" w:sz="24" w:space="0" w:color="75B39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101A" w:themeFill="accent4" w:themeFillShade="99"/>
      </w:tcPr>
    </w:tblStylePr>
    <w:tblStylePr w:type="firstCol">
      <w:rPr>
        <w:color w:val="FFFFFF" w:themeColor="background1"/>
      </w:rPr>
      <w:tblPr/>
      <w:tcPr>
        <w:tcBorders>
          <w:top w:val="nil"/>
          <w:left w:val="nil"/>
          <w:bottom w:val="nil"/>
          <w:right w:val="nil"/>
          <w:insideH w:val="single" w:sz="4" w:space="0" w:color="52101A" w:themeColor="accent4" w:themeShade="99"/>
          <w:insideV w:val="nil"/>
        </w:tcBorders>
        <w:shd w:val="clear" w:color="auto" w:fill="5210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2101A" w:themeFill="accent4" w:themeFillShade="99"/>
      </w:tcPr>
    </w:tblStylePr>
    <w:tblStylePr w:type="band1Vert">
      <w:tblPr/>
      <w:tcPr>
        <w:shd w:val="clear" w:color="auto" w:fill="E88B9A" w:themeFill="accent4" w:themeFillTint="66"/>
      </w:tcPr>
    </w:tblStylePr>
    <w:tblStylePr w:type="band1Horz">
      <w:tblPr/>
      <w:tcPr>
        <w:shd w:val="clear" w:color="auto" w:fill="E26F8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37BD3"/>
    <w:rPr>
      <w:color w:val="000000" w:themeColor="text1"/>
    </w:rPr>
    <w:tblPr>
      <w:tblStyleRowBandSize w:val="1"/>
      <w:tblStyleColBandSize w:val="1"/>
      <w:tblBorders>
        <w:top w:val="single" w:sz="24" w:space="0" w:color="136F55" w:themeColor="accent6"/>
        <w:left w:val="single" w:sz="4" w:space="0" w:color="5C6224" w:themeColor="accent5"/>
        <w:bottom w:val="single" w:sz="4" w:space="0" w:color="5C6224" w:themeColor="accent5"/>
        <w:right w:val="single" w:sz="4" w:space="0" w:color="5C6224" w:themeColor="accent5"/>
        <w:insideH w:val="single" w:sz="4" w:space="0" w:color="FFFFFF" w:themeColor="background1"/>
        <w:insideV w:val="single" w:sz="4" w:space="0" w:color="FFFFFF" w:themeColor="background1"/>
      </w:tblBorders>
    </w:tblPr>
    <w:tcPr>
      <w:shd w:val="clear" w:color="auto" w:fill="F3F5E3" w:themeFill="accent5" w:themeFillTint="19"/>
    </w:tcPr>
    <w:tblStylePr w:type="firstRow">
      <w:rPr>
        <w:b/>
        <w:bCs/>
      </w:rPr>
      <w:tblPr/>
      <w:tcPr>
        <w:tcBorders>
          <w:top w:val="nil"/>
          <w:left w:val="nil"/>
          <w:bottom w:val="single" w:sz="24" w:space="0" w:color="136F5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3A15" w:themeFill="accent5" w:themeFillShade="99"/>
      </w:tcPr>
    </w:tblStylePr>
    <w:tblStylePr w:type="firstCol">
      <w:rPr>
        <w:color w:val="FFFFFF" w:themeColor="background1"/>
      </w:rPr>
      <w:tblPr/>
      <w:tcPr>
        <w:tcBorders>
          <w:top w:val="nil"/>
          <w:left w:val="nil"/>
          <w:bottom w:val="nil"/>
          <w:right w:val="nil"/>
          <w:insideH w:val="single" w:sz="4" w:space="0" w:color="373A15" w:themeColor="accent5" w:themeShade="99"/>
          <w:insideV w:val="nil"/>
        </w:tcBorders>
        <w:shd w:val="clear" w:color="auto" w:fill="373A1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73A15" w:themeFill="accent5" w:themeFillShade="99"/>
      </w:tcPr>
    </w:tblStylePr>
    <w:tblStylePr w:type="band1Vert">
      <w:tblPr/>
      <w:tcPr>
        <w:shd w:val="clear" w:color="auto" w:fill="CFD690" w:themeFill="accent5" w:themeFillTint="66"/>
      </w:tcPr>
    </w:tblStylePr>
    <w:tblStylePr w:type="band1Horz">
      <w:tblPr/>
      <w:tcPr>
        <w:shd w:val="clear" w:color="auto" w:fill="C4CC7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37BD3"/>
    <w:rPr>
      <w:color w:val="000000" w:themeColor="text1"/>
    </w:rPr>
    <w:tblPr>
      <w:tblStyleRowBandSize w:val="1"/>
      <w:tblStyleColBandSize w:val="1"/>
      <w:tblBorders>
        <w:top w:val="single" w:sz="24" w:space="0" w:color="5C6224" w:themeColor="accent5"/>
        <w:left w:val="single" w:sz="4" w:space="0" w:color="136F55" w:themeColor="accent6"/>
        <w:bottom w:val="single" w:sz="4" w:space="0" w:color="136F55" w:themeColor="accent6"/>
        <w:right w:val="single" w:sz="4" w:space="0" w:color="136F55" w:themeColor="accent6"/>
        <w:insideH w:val="single" w:sz="4" w:space="0" w:color="FFFFFF" w:themeColor="background1"/>
        <w:insideV w:val="single" w:sz="4" w:space="0" w:color="FFFFFF" w:themeColor="background1"/>
      </w:tblBorders>
    </w:tblPr>
    <w:tcPr>
      <w:shd w:val="clear" w:color="auto" w:fill="DFF9F2" w:themeFill="accent6" w:themeFillTint="19"/>
    </w:tcPr>
    <w:tblStylePr w:type="firstRow">
      <w:rPr>
        <w:b/>
        <w:bCs/>
      </w:rPr>
      <w:tblPr/>
      <w:tcPr>
        <w:tcBorders>
          <w:top w:val="nil"/>
          <w:left w:val="nil"/>
          <w:bottom w:val="single" w:sz="24" w:space="0" w:color="5C622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4232" w:themeFill="accent6" w:themeFillShade="99"/>
      </w:tcPr>
    </w:tblStylePr>
    <w:tblStylePr w:type="firstCol">
      <w:rPr>
        <w:color w:val="FFFFFF" w:themeColor="background1"/>
      </w:rPr>
      <w:tblPr/>
      <w:tcPr>
        <w:tcBorders>
          <w:top w:val="nil"/>
          <w:left w:val="nil"/>
          <w:bottom w:val="nil"/>
          <w:right w:val="nil"/>
          <w:insideH w:val="single" w:sz="4" w:space="0" w:color="0B4232" w:themeColor="accent6" w:themeShade="99"/>
          <w:insideV w:val="nil"/>
        </w:tcBorders>
        <w:shd w:val="clear" w:color="auto" w:fill="0B423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B4232" w:themeFill="accent6" w:themeFillShade="99"/>
      </w:tcPr>
    </w:tblStylePr>
    <w:tblStylePr w:type="band1Vert">
      <w:tblPr/>
      <w:tcPr>
        <w:shd w:val="clear" w:color="auto" w:fill="7DE8CA" w:themeFill="accent6" w:themeFillTint="66"/>
      </w:tcPr>
    </w:tblStylePr>
    <w:tblStylePr w:type="band1Horz">
      <w:tblPr/>
      <w:tcPr>
        <w:shd w:val="clear" w:color="auto" w:fill="5DE3BC"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B37B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37BD3"/>
    <w:rPr>
      <w:color w:val="FFFFFF" w:themeColor="background1"/>
    </w:rPr>
    <w:tblPr>
      <w:tblStyleRowBandSize w:val="1"/>
      <w:tblStyleColBandSize w:val="1"/>
    </w:tblPr>
    <w:tcPr>
      <w:shd w:val="clear" w:color="auto" w:fill="5EB9C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637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395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395AD" w:themeFill="accent1" w:themeFillShade="BF"/>
      </w:tcPr>
    </w:tblStylePr>
    <w:tblStylePr w:type="band1Vert">
      <w:tblPr/>
      <w:tcPr>
        <w:tcBorders>
          <w:top w:val="nil"/>
          <w:left w:val="nil"/>
          <w:bottom w:val="nil"/>
          <w:right w:val="nil"/>
          <w:insideH w:val="nil"/>
          <w:insideV w:val="nil"/>
        </w:tcBorders>
        <w:shd w:val="clear" w:color="auto" w:fill="3395AD" w:themeFill="accent1" w:themeFillShade="BF"/>
      </w:tcPr>
    </w:tblStylePr>
    <w:tblStylePr w:type="band1Horz">
      <w:tblPr/>
      <w:tcPr>
        <w:tcBorders>
          <w:top w:val="nil"/>
          <w:left w:val="nil"/>
          <w:bottom w:val="nil"/>
          <w:right w:val="nil"/>
          <w:insideH w:val="nil"/>
          <w:insideV w:val="nil"/>
        </w:tcBorders>
        <w:shd w:val="clear" w:color="auto" w:fill="3395AD" w:themeFill="accent1" w:themeFillShade="BF"/>
      </w:tcPr>
    </w:tblStylePr>
  </w:style>
  <w:style w:type="table" w:styleId="DarkList-Accent2">
    <w:name w:val="Dark List Accent 2"/>
    <w:basedOn w:val="TableNormal"/>
    <w:uiPriority w:val="70"/>
    <w:rsid w:val="00B37BD3"/>
    <w:rPr>
      <w:color w:val="FFFFFF" w:themeColor="background1"/>
    </w:rPr>
    <w:tblPr>
      <w:tblStyleRowBandSize w:val="1"/>
      <w:tblStyleColBandSize w:val="1"/>
    </w:tblPr>
    <w:tcPr>
      <w:shd w:val="clear" w:color="auto" w:fill="A8A8A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535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D7D7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D7D7D" w:themeFill="accent2" w:themeFillShade="BF"/>
      </w:tcPr>
    </w:tblStylePr>
    <w:tblStylePr w:type="band1Vert">
      <w:tblPr/>
      <w:tcPr>
        <w:tcBorders>
          <w:top w:val="nil"/>
          <w:left w:val="nil"/>
          <w:bottom w:val="nil"/>
          <w:right w:val="nil"/>
          <w:insideH w:val="nil"/>
          <w:insideV w:val="nil"/>
        </w:tcBorders>
        <w:shd w:val="clear" w:color="auto" w:fill="7D7D7D" w:themeFill="accent2" w:themeFillShade="BF"/>
      </w:tcPr>
    </w:tblStylePr>
    <w:tblStylePr w:type="band1Horz">
      <w:tblPr/>
      <w:tcPr>
        <w:tcBorders>
          <w:top w:val="nil"/>
          <w:left w:val="nil"/>
          <w:bottom w:val="nil"/>
          <w:right w:val="nil"/>
          <w:insideH w:val="nil"/>
          <w:insideV w:val="nil"/>
        </w:tcBorders>
        <w:shd w:val="clear" w:color="auto" w:fill="7D7D7D" w:themeFill="accent2" w:themeFillShade="BF"/>
      </w:tcPr>
    </w:tblStylePr>
  </w:style>
  <w:style w:type="table" w:styleId="DarkList-Accent3">
    <w:name w:val="Dark List Accent 3"/>
    <w:basedOn w:val="TableNormal"/>
    <w:uiPriority w:val="70"/>
    <w:rsid w:val="00B37BD3"/>
    <w:rPr>
      <w:color w:val="FFFFFF" w:themeColor="background1"/>
    </w:rPr>
    <w:tblPr>
      <w:tblStyleRowBandSize w:val="1"/>
      <w:tblStyleColBandSize w:val="1"/>
    </w:tblPr>
    <w:tcPr>
      <w:shd w:val="clear" w:color="auto" w:fill="75B39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5E4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E8E7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E8E77" w:themeFill="accent3" w:themeFillShade="BF"/>
      </w:tcPr>
    </w:tblStylePr>
    <w:tblStylePr w:type="band1Vert">
      <w:tblPr/>
      <w:tcPr>
        <w:tcBorders>
          <w:top w:val="nil"/>
          <w:left w:val="nil"/>
          <w:bottom w:val="nil"/>
          <w:right w:val="nil"/>
          <w:insideH w:val="nil"/>
          <w:insideV w:val="nil"/>
        </w:tcBorders>
        <w:shd w:val="clear" w:color="auto" w:fill="4E8E77" w:themeFill="accent3" w:themeFillShade="BF"/>
      </w:tcPr>
    </w:tblStylePr>
    <w:tblStylePr w:type="band1Horz">
      <w:tblPr/>
      <w:tcPr>
        <w:tcBorders>
          <w:top w:val="nil"/>
          <w:left w:val="nil"/>
          <w:bottom w:val="nil"/>
          <w:right w:val="nil"/>
          <w:insideH w:val="nil"/>
          <w:insideV w:val="nil"/>
        </w:tcBorders>
        <w:shd w:val="clear" w:color="auto" w:fill="4E8E77" w:themeFill="accent3" w:themeFillShade="BF"/>
      </w:tcPr>
    </w:tblStylePr>
  </w:style>
  <w:style w:type="table" w:styleId="DarkList-Accent4">
    <w:name w:val="Dark List Accent 4"/>
    <w:basedOn w:val="TableNormal"/>
    <w:uiPriority w:val="70"/>
    <w:rsid w:val="00B37BD3"/>
    <w:rPr>
      <w:color w:val="FFFFFF" w:themeColor="background1"/>
    </w:rPr>
    <w:tblPr>
      <w:tblStyleRowBandSize w:val="1"/>
      <w:tblStyleColBandSize w:val="1"/>
    </w:tblPr>
    <w:tcPr>
      <w:shd w:val="clear" w:color="auto" w:fill="891B2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0D1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142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1421" w:themeFill="accent4" w:themeFillShade="BF"/>
      </w:tcPr>
    </w:tblStylePr>
    <w:tblStylePr w:type="band1Vert">
      <w:tblPr/>
      <w:tcPr>
        <w:tcBorders>
          <w:top w:val="nil"/>
          <w:left w:val="nil"/>
          <w:bottom w:val="nil"/>
          <w:right w:val="nil"/>
          <w:insideH w:val="nil"/>
          <w:insideV w:val="nil"/>
        </w:tcBorders>
        <w:shd w:val="clear" w:color="auto" w:fill="661421" w:themeFill="accent4" w:themeFillShade="BF"/>
      </w:tcPr>
    </w:tblStylePr>
    <w:tblStylePr w:type="band1Horz">
      <w:tblPr/>
      <w:tcPr>
        <w:tcBorders>
          <w:top w:val="nil"/>
          <w:left w:val="nil"/>
          <w:bottom w:val="nil"/>
          <w:right w:val="nil"/>
          <w:insideH w:val="nil"/>
          <w:insideV w:val="nil"/>
        </w:tcBorders>
        <w:shd w:val="clear" w:color="auto" w:fill="661421" w:themeFill="accent4" w:themeFillShade="BF"/>
      </w:tcPr>
    </w:tblStylePr>
  </w:style>
  <w:style w:type="table" w:styleId="DarkList-Accent5">
    <w:name w:val="Dark List Accent 5"/>
    <w:basedOn w:val="TableNormal"/>
    <w:uiPriority w:val="70"/>
    <w:rsid w:val="00B37BD3"/>
    <w:rPr>
      <w:color w:val="FFFFFF" w:themeColor="background1"/>
    </w:rPr>
    <w:tblPr>
      <w:tblStyleRowBandSize w:val="1"/>
      <w:tblStyleColBandSize w:val="1"/>
    </w:tblPr>
    <w:tcPr>
      <w:shd w:val="clear" w:color="auto" w:fill="5C622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01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4491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4491B" w:themeFill="accent5" w:themeFillShade="BF"/>
      </w:tcPr>
    </w:tblStylePr>
    <w:tblStylePr w:type="band1Vert">
      <w:tblPr/>
      <w:tcPr>
        <w:tcBorders>
          <w:top w:val="nil"/>
          <w:left w:val="nil"/>
          <w:bottom w:val="nil"/>
          <w:right w:val="nil"/>
          <w:insideH w:val="nil"/>
          <w:insideV w:val="nil"/>
        </w:tcBorders>
        <w:shd w:val="clear" w:color="auto" w:fill="44491B" w:themeFill="accent5" w:themeFillShade="BF"/>
      </w:tcPr>
    </w:tblStylePr>
    <w:tblStylePr w:type="band1Horz">
      <w:tblPr/>
      <w:tcPr>
        <w:tcBorders>
          <w:top w:val="nil"/>
          <w:left w:val="nil"/>
          <w:bottom w:val="nil"/>
          <w:right w:val="nil"/>
          <w:insideH w:val="nil"/>
          <w:insideV w:val="nil"/>
        </w:tcBorders>
        <w:shd w:val="clear" w:color="auto" w:fill="44491B" w:themeFill="accent5" w:themeFillShade="BF"/>
      </w:tcPr>
    </w:tblStylePr>
  </w:style>
  <w:style w:type="table" w:styleId="DarkList-Accent6">
    <w:name w:val="Dark List Accent 6"/>
    <w:basedOn w:val="TableNormal"/>
    <w:uiPriority w:val="70"/>
    <w:rsid w:val="00B37BD3"/>
    <w:rPr>
      <w:color w:val="FFFFFF" w:themeColor="background1"/>
    </w:rPr>
    <w:tblPr>
      <w:tblStyleRowBandSize w:val="1"/>
      <w:tblStyleColBandSize w:val="1"/>
    </w:tblPr>
    <w:tcPr>
      <w:shd w:val="clear" w:color="auto" w:fill="136F5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372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E533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E533F" w:themeFill="accent6" w:themeFillShade="BF"/>
      </w:tcPr>
    </w:tblStylePr>
    <w:tblStylePr w:type="band1Vert">
      <w:tblPr/>
      <w:tcPr>
        <w:tcBorders>
          <w:top w:val="nil"/>
          <w:left w:val="nil"/>
          <w:bottom w:val="nil"/>
          <w:right w:val="nil"/>
          <w:insideH w:val="nil"/>
          <w:insideV w:val="nil"/>
        </w:tcBorders>
        <w:shd w:val="clear" w:color="auto" w:fill="0E533F" w:themeFill="accent6" w:themeFillShade="BF"/>
      </w:tcPr>
    </w:tblStylePr>
    <w:tblStylePr w:type="band1Horz">
      <w:tblPr/>
      <w:tcPr>
        <w:tcBorders>
          <w:top w:val="nil"/>
          <w:left w:val="nil"/>
          <w:bottom w:val="nil"/>
          <w:right w:val="nil"/>
          <w:insideH w:val="nil"/>
          <w:insideV w:val="nil"/>
        </w:tcBorders>
        <w:shd w:val="clear" w:color="auto" w:fill="0E533F" w:themeFill="accent6" w:themeFillShade="BF"/>
      </w:tcPr>
    </w:tblStylePr>
  </w:style>
  <w:style w:type="character" w:styleId="IntenseEmphasis">
    <w:name w:val="Intense Emphasis"/>
    <w:basedOn w:val="DefaultParagraphFont"/>
    <w:uiPriority w:val="21"/>
    <w:qFormat/>
    <w:rsid w:val="00B37BD3"/>
    <w:rPr>
      <w:b/>
      <w:bCs/>
      <w:i/>
      <w:iCs/>
      <w:color w:val="5EB9CF" w:themeColor="accent1"/>
      <w:lang w:val="en-GB"/>
    </w:rPr>
  </w:style>
  <w:style w:type="paragraph" w:styleId="IntenseQuote">
    <w:name w:val="Intense Quote"/>
    <w:basedOn w:val="Normal"/>
    <w:next w:val="Normal"/>
    <w:link w:val="IntenseQuoteChar"/>
    <w:uiPriority w:val="30"/>
    <w:qFormat/>
    <w:rsid w:val="00B37BD3"/>
    <w:pPr>
      <w:pBdr>
        <w:bottom w:val="single" w:sz="4" w:space="4" w:color="5EB9CF" w:themeColor="accent1"/>
      </w:pBdr>
      <w:spacing w:before="200" w:after="280"/>
      <w:ind w:left="936" w:right="936"/>
    </w:pPr>
    <w:rPr>
      <w:b/>
      <w:bCs/>
      <w:i/>
      <w:iCs/>
      <w:color w:val="5EB9CF" w:themeColor="accent1"/>
    </w:rPr>
  </w:style>
  <w:style w:type="character" w:customStyle="1" w:styleId="IntenseQuoteChar">
    <w:name w:val="Intense Quote Char"/>
    <w:basedOn w:val="DefaultParagraphFont"/>
    <w:link w:val="IntenseQuote"/>
    <w:uiPriority w:val="30"/>
    <w:rsid w:val="00B37BD3"/>
    <w:rPr>
      <w:b/>
      <w:bCs/>
      <w:i/>
      <w:iCs/>
      <w:color w:val="5EB9CF" w:themeColor="accent1"/>
      <w:lang w:val="en-GB"/>
    </w:rPr>
  </w:style>
  <w:style w:type="character" w:styleId="IntenseReference">
    <w:name w:val="Intense Reference"/>
    <w:basedOn w:val="DefaultParagraphFont"/>
    <w:uiPriority w:val="32"/>
    <w:qFormat/>
    <w:rsid w:val="00B37BD3"/>
    <w:rPr>
      <w:b/>
      <w:bCs/>
      <w:smallCaps/>
      <w:color w:val="A8A8A8" w:themeColor="accent2"/>
      <w:spacing w:val="5"/>
      <w:u w:val="single"/>
      <w:lang w:val="en-GB"/>
    </w:rPr>
  </w:style>
  <w:style w:type="table" w:styleId="LightGrid">
    <w:name w:val="Light Grid"/>
    <w:basedOn w:val="TableNormal"/>
    <w:uiPriority w:val="62"/>
    <w:rsid w:val="00B37B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37BD3"/>
    <w:tblPr>
      <w:tblStyleRowBandSize w:val="1"/>
      <w:tblStyleColBandSize w:val="1"/>
      <w:tblBorders>
        <w:top w:val="single" w:sz="8" w:space="0" w:color="5EB9CF" w:themeColor="accent1"/>
        <w:left w:val="single" w:sz="8" w:space="0" w:color="5EB9CF" w:themeColor="accent1"/>
        <w:bottom w:val="single" w:sz="8" w:space="0" w:color="5EB9CF" w:themeColor="accent1"/>
        <w:right w:val="single" w:sz="8" w:space="0" w:color="5EB9CF" w:themeColor="accent1"/>
        <w:insideH w:val="single" w:sz="8" w:space="0" w:color="5EB9CF" w:themeColor="accent1"/>
        <w:insideV w:val="single" w:sz="8" w:space="0" w:color="5EB9C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B9CF" w:themeColor="accent1"/>
          <w:left w:val="single" w:sz="8" w:space="0" w:color="5EB9CF" w:themeColor="accent1"/>
          <w:bottom w:val="single" w:sz="18" w:space="0" w:color="5EB9CF" w:themeColor="accent1"/>
          <w:right w:val="single" w:sz="8" w:space="0" w:color="5EB9CF" w:themeColor="accent1"/>
          <w:insideH w:val="nil"/>
          <w:insideV w:val="single" w:sz="8" w:space="0" w:color="5EB9C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B9CF" w:themeColor="accent1"/>
          <w:left w:val="single" w:sz="8" w:space="0" w:color="5EB9CF" w:themeColor="accent1"/>
          <w:bottom w:val="single" w:sz="8" w:space="0" w:color="5EB9CF" w:themeColor="accent1"/>
          <w:right w:val="single" w:sz="8" w:space="0" w:color="5EB9CF" w:themeColor="accent1"/>
          <w:insideH w:val="nil"/>
          <w:insideV w:val="single" w:sz="8" w:space="0" w:color="5EB9C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B9CF" w:themeColor="accent1"/>
          <w:left w:val="single" w:sz="8" w:space="0" w:color="5EB9CF" w:themeColor="accent1"/>
          <w:bottom w:val="single" w:sz="8" w:space="0" w:color="5EB9CF" w:themeColor="accent1"/>
          <w:right w:val="single" w:sz="8" w:space="0" w:color="5EB9CF" w:themeColor="accent1"/>
        </w:tcBorders>
      </w:tcPr>
    </w:tblStylePr>
    <w:tblStylePr w:type="band1Vert">
      <w:tblPr/>
      <w:tcPr>
        <w:tcBorders>
          <w:top w:val="single" w:sz="8" w:space="0" w:color="5EB9CF" w:themeColor="accent1"/>
          <w:left w:val="single" w:sz="8" w:space="0" w:color="5EB9CF" w:themeColor="accent1"/>
          <w:bottom w:val="single" w:sz="8" w:space="0" w:color="5EB9CF" w:themeColor="accent1"/>
          <w:right w:val="single" w:sz="8" w:space="0" w:color="5EB9CF" w:themeColor="accent1"/>
        </w:tcBorders>
        <w:shd w:val="clear" w:color="auto" w:fill="D7EDF3" w:themeFill="accent1" w:themeFillTint="3F"/>
      </w:tcPr>
    </w:tblStylePr>
    <w:tblStylePr w:type="band1Horz">
      <w:tblPr/>
      <w:tcPr>
        <w:tcBorders>
          <w:top w:val="single" w:sz="8" w:space="0" w:color="5EB9CF" w:themeColor="accent1"/>
          <w:left w:val="single" w:sz="8" w:space="0" w:color="5EB9CF" w:themeColor="accent1"/>
          <w:bottom w:val="single" w:sz="8" w:space="0" w:color="5EB9CF" w:themeColor="accent1"/>
          <w:right w:val="single" w:sz="8" w:space="0" w:color="5EB9CF" w:themeColor="accent1"/>
          <w:insideV w:val="single" w:sz="8" w:space="0" w:color="5EB9CF" w:themeColor="accent1"/>
        </w:tcBorders>
        <w:shd w:val="clear" w:color="auto" w:fill="D7EDF3" w:themeFill="accent1" w:themeFillTint="3F"/>
      </w:tcPr>
    </w:tblStylePr>
    <w:tblStylePr w:type="band2Horz">
      <w:tblPr/>
      <w:tcPr>
        <w:tcBorders>
          <w:top w:val="single" w:sz="8" w:space="0" w:color="5EB9CF" w:themeColor="accent1"/>
          <w:left w:val="single" w:sz="8" w:space="0" w:color="5EB9CF" w:themeColor="accent1"/>
          <w:bottom w:val="single" w:sz="8" w:space="0" w:color="5EB9CF" w:themeColor="accent1"/>
          <w:right w:val="single" w:sz="8" w:space="0" w:color="5EB9CF" w:themeColor="accent1"/>
          <w:insideV w:val="single" w:sz="8" w:space="0" w:color="5EB9CF" w:themeColor="accent1"/>
        </w:tcBorders>
      </w:tcPr>
    </w:tblStylePr>
  </w:style>
  <w:style w:type="table" w:styleId="LightGrid-Accent2">
    <w:name w:val="Light Grid Accent 2"/>
    <w:basedOn w:val="TableNormal"/>
    <w:uiPriority w:val="62"/>
    <w:rsid w:val="00B37BD3"/>
    <w:tblPr>
      <w:tblStyleRowBandSize w:val="1"/>
      <w:tblStyleColBandSize w:val="1"/>
      <w:tblBorders>
        <w:top w:val="single" w:sz="8" w:space="0" w:color="A8A8A8" w:themeColor="accent2"/>
        <w:left w:val="single" w:sz="8" w:space="0" w:color="A8A8A8" w:themeColor="accent2"/>
        <w:bottom w:val="single" w:sz="8" w:space="0" w:color="A8A8A8" w:themeColor="accent2"/>
        <w:right w:val="single" w:sz="8" w:space="0" w:color="A8A8A8" w:themeColor="accent2"/>
        <w:insideH w:val="single" w:sz="8" w:space="0" w:color="A8A8A8" w:themeColor="accent2"/>
        <w:insideV w:val="single" w:sz="8" w:space="0" w:color="A8A8A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8A8A8" w:themeColor="accent2"/>
          <w:left w:val="single" w:sz="8" w:space="0" w:color="A8A8A8" w:themeColor="accent2"/>
          <w:bottom w:val="single" w:sz="18" w:space="0" w:color="A8A8A8" w:themeColor="accent2"/>
          <w:right w:val="single" w:sz="8" w:space="0" w:color="A8A8A8" w:themeColor="accent2"/>
          <w:insideH w:val="nil"/>
          <w:insideV w:val="single" w:sz="8" w:space="0" w:color="A8A8A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A8A8" w:themeColor="accent2"/>
          <w:left w:val="single" w:sz="8" w:space="0" w:color="A8A8A8" w:themeColor="accent2"/>
          <w:bottom w:val="single" w:sz="8" w:space="0" w:color="A8A8A8" w:themeColor="accent2"/>
          <w:right w:val="single" w:sz="8" w:space="0" w:color="A8A8A8" w:themeColor="accent2"/>
          <w:insideH w:val="nil"/>
          <w:insideV w:val="single" w:sz="8" w:space="0" w:color="A8A8A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A8A8" w:themeColor="accent2"/>
          <w:left w:val="single" w:sz="8" w:space="0" w:color="A8A8A8" w:themeColor="accent2"/>
          <w:bottom w:val="single" w:sz="8" w:space="0" w:color="A8A8A8" w:themeColor="accent2"/>
          <w:right w:val="single" w:sz="8" w:space="0" w:color="A8A8A8" w:themeColor="accent2"/>
        </w:tcBorders>
      </w:tcPr>
    </w:tblStylePr>
    <w:tblStylePr w:type="band1Vert">
      <w:tblPr/>
      <w:tcPr>
        <w:tcBorders>
          <w:top w:val="single" w:sz="8" w:space="0" w:color="A8A8A8" w:themeColor="accent2"/>
          <w:left w:val="single" w:sz="8" w:space="0" w:color="A8A8A8" w:themeColor="accent2"/>
          <w:bottom w:val="single" w:sz="8" w:space="0" w:color="A8A8A8" w:themeColor="accent2"/>
          <w:right w:val="single" w:sz="8" w:space="0" w:color="A8A8A8" w:themeColor="accent2"/>
        </w:tcBorders>
        <w:shd w:val="clear" w:color="auto" w:fill="E9E9E9" w:themeFill="accent2" w:themeFillTint="3F"/>
      </w:tcPr>
    </w:tblStylePr>
    <w:tblStylePr w:type="band1Horz">
      <w:tblPr/>
      <w:tcPr>
        <w:tcBorders>
          <w:top w:val="single" w:sz="8" w:space="0" w:color="A8A8A8" w:themeColor="accent2"/>
          <w:left w:val="single" w:sz="8" w:space="0" w:color="A8A8A8" w:themeColor="accent2"/>
          <w:bottom w:val="single" w:sz="8" w:space="0" w:color="A8A8A8" w:themeColor="accent2"/>
          <w:right w:val="single" w:sz="8" w:space="0" w:color="A8A8A8" w:themeColor="accent2"/>
          <w:insideV w:val="single" w:sz="8" w:space="0" w:color="A8A8A8" w:themeColor="accent2"/>
        </w:tcBorders>
        <w:shd w:val="clear" w:color="auto" w:fill="E9E9E9" w:themeFill="accent2" w:themeFillTint="3F"/>
      </w:tcPr>
    </w:tblStylePr>
    <w:tblStylePr w:type="band2Horz">
      <w:tblPr/>
      <w:tcPr>
        <w:tcBorders>
          <w:top w:val="single" w:sz="8" w:space="0" w:color="A8A8A8" w:themeColor="accent2"/>
          <w:left w:val="single" w:sz="8" w:space="0" w:color="A8A8A8" w:themeColor="accent2"/>
          <w:bottom w:val="single" w:sz="8" w:space="0" w:color="A8A8A8" w:themeColor="accent2"/>
          <w:right w:val="single" w:sz="8" w:space="0" w:color="A8A8A8" w:themeColor="accent2"/>
          <w:insideV w:val="single" w:sz="8" w:space="0" w:color="A8A8A8" w:themeColor="accent2"/>
        </w:tcBorders>
      </w:tcPr>
    </w:tblStylePr>
  </w:style>
  <w:style w:type="table" w:styleId="LightGrid-Accent3">
    <w:name w:val="Light Grid Accent 3"/>
    <w:basedOn w:val="TableNormal"/>
    <w:uiPriority w:val="62"/>
    <w:rsid w:val="00B37BD3"/>
    <w:tblPr>
      <w:tblStyleRowBandSize w:val="1"/>
      <w:tblStyleColBandSize w:val="1"/>
      <w:tblBorders>
        <w:top w:val="single" w:sz="8" w:space="0" w:color="75B39D" w:themeColor="accent3"/>
        <w:left w:val="single" w:sz="8" w:space="0" w:color="75B39D" w:themeColor="accent3"/>
        <w:bottom w:val="single" w:sz="8" w:space="0" w:color="75B39D" w:themeColor="accent3"/>
        <w:right w:val="single" w:sz="8" w:space="0" w:color="75B39D" w:themeColor="accent3"/>
        <w:insideH w:val="single" w:sz="8" w:space="0" w:color="75B39D" w:themeColor="accent3"/>
        <w:insideV w:val="single" w:sz="8" w:space="0" w:color="75B39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39D" w:themeColor="accent3"/>
          <w:left w:val="single" w:sz="8" w:space="0" w:color="75B39D" w:themeColor="accent3"/>
          <w:bottom w:val="single" w:sz="18" w:space="0" w:color="75B39D" w:themeColor="accent3"/>
          <w:right w:val="single" w:sz="8" w:space="0" w:color="75B39D" w:themeColor="accent3"/>
          <w:insideH w:val="nil"/>
          <w:insideV w:val="single" w:sz="8" w:space="0" w:color="75B39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39D" w:themeColor="accent3"/>
          <w:left w:val="single" w:sz="8" w:space="0" w:color="75B39D" w:themeColor="accent3"/>
          <w:bottom w:val="single" w:sz="8" w:space="0" w:color="75B39D" w:themeColor="accent3"/>
          <w:right w:val="single" w:sz="8" w:space="0" w:color="75B39D" w:themeColor="accent3"/>
          <w:insideH w:val="nil"/>
          <w:insideV w:val="single" w:sz="8" w:space="0" w:color="75B39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39D" w:themeColor="accent3"/>
          <w:left w:val="single" w:sz="8" w:space="0" w:color="75B39D" w:themeColor="accent3"/>
          <w:bottom w:val="single" w:sz="8" w:space="0" w:color="75B39D" w:themeColor="accent3"/>
          <w:right w:val="single" w:sz="8" w:space="0" w:color="75B39D" w:themeColor="accent3"/>
        </w:tcBorders>
      </w:tcPr>
    </w:tblStylePr>
    <w:tblStylePr w:type="band1Vert">
      <w:tblPr/>
      <w:tcPr>
        <w:tcBorders>
          <w:top w:val="single" w:sz="8" w:space="0" w:color="75B39D" w:themeColor="accent3"/>
          <w:left w:val="single" w:sz="8" w:space="0" w:color="75B39D" w:themeColor="accent3"/>
          <w:bottom w:val="single" w:sz="8" w:space="0" w:color="75B39D" w:themeColor="accent3"/>
          <w:right w:val="single" w:sz="8" w:space="0" w:color="75B39D" w:themeColor="accent3"/>
        </w:tcBorders>
        <w:shd w:val="clear" w:color="auto" w:fill="DCECE6" w:themeFill="accent3" w:themeFillTint="3F"/>
      </w:tcPr>
    </w:tblStylePr>
    <w:tblStylePr w:type="band1Horz">
      <w:tblPr/>
      <w:tcPr>
        <w:tcBorders>
          <w:top w:val="single" w:sz="8" w:space="0" w:color="75B39D" w:themeColor="accent3"/>
          <w:left w:val="single" w:sz="8" w:space="0" w:color="75B39D" w:themeColor="accent3"/>
          <w:bottom w:val="single" w:sz="8" w:space="0" w:color="75B39D" w:themeColor="accent3"/>
          <w:right w:val="single" w:sz="8" w:space="0" w:color="75B39D" w:themeColor="accent3"/>
          <w:insideV w:val="single" w:sz="8" w:space="0" w:color="75B39D" w:themeColor="accent3"/>
        </w:tcBorders>
        <w:shd w:val="clear" w:color="auto" w:fill="DCECE6" w:themeFill="accent3" w:themeFillTint="3F"/>
      </w:tcPr>
    </w:tblStylePr>
    <w:tblStylePr w:type="band2Horz">
      <w:tblPr/>
      <w:tcPr>
        <w:tcBorders>
          <w:top w:val="single" w:sz="8" w:space="0" w:color="75B39D" w:themeColor="accent3"/>
          <w:left w:val="single" w:sz="8" w:space="0" w:color="75B39D" w:themeColor="accent3"/>
          <w:bottom w:val="single" w:sz="8" w:space="0" w:color="75B39D" w:themeColor="accent3"/>
          <w:right w:val="single" w:sz="8" w:space="0" w:color="75B39D" w:themeColor="accent3"/>
          <w:insideV w:val="single" w:sz="8" w:space="0" w:color="75B39D" w:themeColor="accent3"/>
        </w:tcBorders>
      </w:tcPr>
    </w:tblStylePr>
  </w:style>
  <w:style w:type="table" w:styleId="LightGrid-Accent4">
    <w:name w:val="Light Grid Accent 4"/>
    <w:basedOn w:val="TableNormal"/>
    <w:uiPriority w:val="62"/>
    <w:rsid w:val="00B37BD3"/>
    <w:tblPr>
      <w:tblStyleRowBandSize w:val="1"/>
      <w:tblStyleColBandSize w:val="1"/>
      <w:tblBorders>
        <w:top w:val="single" w:sz="8" w:space="0" w:color="891B2D" w:themeColor="accent4"/>
        <w:left w:val="single" w:sz="8" w:space="0" w:color="891B2D" w:themeColor="accent4"/>
        <w:bottom w:val="single" w:sz="8" w:space="0" w:color="891B2D" w:themeColor="accent4"/>
        <w:right w:val="single" w:sz="8" w:space="0" w:color="891B2D" w:themeColor="accent4"/>
        <w:insideH w:val="single" w:sz="8" w:space="0" w:color="891B2D" w:themeColor="accent4"/>
        <w:insideV w:val="single" w:sz="8" w:space="0" w:color="891B2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1B2D" w:themeColor="accent4"/>
          <w:left w:val="single" w:sz="8" w:space="0" w:color="891B2D" w:themeColor="accent4"/>
          <w:bottom w:val="single" w:sz="18" w:space="0" w:color="891B2D" w:themeColor="accent4"/>
          <w:right w:val="single" w:sz="8" w:space="0" w:color="891B2D" w:themeColor="accent4"/>
          <w:insideH w:val="nil"/>
          <w:insideV w:val="single" w:sz="8" w:space="0" w:color="891B2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1B2D" w:themeColor="accent4"/>
          <w:left w:val="single" w:sz="8" w:space="0" w:color="891B2D" w:themeColor="accent4"/>
          <w:bottom w:val="single" w:sz="8" w:space="0" w:color="891B2D" w:themeColor="accent4"/>
          <w:right w:val="single" w:sz="8" w:space="0" w:color="891B2D" w:themeColor="accent4"/>
          <w:insideH w:val="nil"/>
          <w:insideV w:val="single" w:sz="8" w:space="0" w:color="891B2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1B2D" w:themeColor="accent4"/>
          <w:left w:val="single" w:sz="8" w:space="0" w:color="891B2D" w:themeColor="accent4"/>
          <w:bottom w:val="single" w:sz="8" w:space="0" w:color="891B2D" w:themeColor="accent4"/>
          <w:right w:val="single" w:sz="8" w:space="0" w:color="891B2D" w:themeColor="accent4"/>
        </w:tcBorders>
      </w:tcPr>
    </w:tblStylePr>
    <w:tblStylePr w:type="band1Vert">
      <w:tblPr/>
      <w:tcPr>
        <w:tcBorders>
          <w:top w:val="single" w:sz="8" w:space="0" w:color="891B2D" w:themeColor="accent4"/>
          <w:left w:val="single" w:sz="8" w:space="0" w:color="891B2D" w:themeColor="accent4"/>
          <w:bottom w:val="single" w:sz="8" w:space="0" w:color="891B2D" w:themeColor="accent4"/>
          <w:right w:val="single" w:sz="8" w:space="0" w:color="891B2D" w:themeColor="accent4"/>
        </w:tcBorders>
        <w:shd w:val="clear" w:color="auto" w:fill="F1B7C0" w:themeFill="accent4" w:themeFillTint="3F"/>
      </w:tcPr>
    </w:tblStylePr>
    <w:tblStylePr w:type="band1Horz">
      <w:tblPr/>
      <w:tcPr>
        <w:tcBorders>
          <w:top w:val="single" w:sz="8" w:space="0" w:color="891B2D" w:themeColor="accent4"/>
          <w:left w:val="single" w:sz="8" w:space="0" w:color="891B2D" w:themeColor="accent4"/>
          <w:bottom w:val="single" w:sz="8" w:space="0" w:color="891B2D" w:themeColor="accent4"/>
          <w:right w:val="single" w:sz="8" w:space="0" w:color="891B2D" w:themeColor="accent4"/>
          <w:insideV w:val="single" w:sz="8" w:space="0" w:color="891B2D" w:themeColor="accent4"/>
        </w:tcBorders>
        <w:shd w:val="clear" w:color="auto" w:fill="F1B7C0" w:themeFill="accent4" w:themeFillTint="3F"/>
      </w:tcPr>
    </w:tblStylePr>
    <w:tblStylePr w:type="band2Horz">
      <w:tblPr/>
      <w:tcPr>
        <w:tcBorders>
          <w:top w:val="single" w:sz="8" w:space="0" w:color="891B2D" w:themeColor="accent4"/>
          <w:left w:val="single" w:sz="8" w:space="0" w:color="891B2D" w:themeColor="accent4"/>
          <w:bottom w:val="single" w:sz="8" w:space="0" w:color="891B2D" w:themeColor="accent4"/>
          <w:right w:val="single" w:sz="8" w:space="0" w:color="891B2D" w:themeColor="accent4"/>
          <w:insideV w:val="single" w:sz="8" w:space="0" w:color="891B2D" w:themeColor="accent4"/>
        </w:tcBorders>
      </w:tcPr>
    </w:tblStylePr>
  </w:style>
  <w:style w:type="table" w:styleId="LightGrid-Accent5">
    <w:name w:val="Light Grid Accent 5"/>
    <w:basedOn w:val="TableNormal"/>
    <w:uiPriority w:val="62"/>
    <w:rsid w:val="00B37BD3"/>
    <w:tblPr>
      <w:tblStyleRowBandSize w:val="1"/>
      <w:tblStyleColBandSize w:val="1"/>
      <w:tblBorders>
        <w:top w:val="single" w:sz="8" w:space="0" w:color="5C6224" w:themeColor="accent5"/>
        <w:left w:val="single" w:sz="8" w:space="0" w:color="5C6224" w:themeColor="accent5"/>
        <w:bottom w:val="single" w:sz="8" w:space="0" w:color="5C6224" w:themeColor="accent5"/>
        <w:right w:val="single" w:sz="8" w:space="0" w:color="5C6224" w:themeColor="accent5"/>
        <w:insideH w:val="single" w:sz="8" w:space="0" w:color="5C6224" w:themeColor="accent5"/>
        <w:insideV w:val="single" w:sz="8" w:space="0" w:color="5C622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6224" w:themeColor="accent5"/>
          <w:left w:val="single" w:sz="8" w:space="0" w:color="5C6224" w:themeColor="accent5"/>
          <w:bottom w:val="single" w:sz="18" w:space="0" w:color="5C6224" w:themeColor="accent5"/>
          <w:right w:val="single" w:sz="8" w:space="0" w:color="5C6224" w:themeColor="accent5"/>
          <w:insideH w:val="nil"/>
          <w:insideV w:val="single" w:sz="8" w:space="0" w:color="5C622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6224" w:themeColor="accent5"/>
          <w:left w:val="single" w:sz="8" w:space="0" w:color="5C6224" w:themeColor="accent5"/>
          <w:bottom w:val="single" w:sz="8" w:space="0" w:color="5C6224" w:themeColor="accent5"/>
          <w:right w:val="single" w:sz="8" w:space="0" w:color="5C6224" w:themeColor="accent5"/>
          <w:insideH w:val="nil"/>
          <w:insideV w:val="single" w:sz="8" w:space="0" w:color="5C622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6224" w:themeColor="accent5"/>
          <w:left w:val="single" w:sz="8" w:space="0" w:color="5C6224" w:themeColor="accent5"/>
          <w:bottom w:val="single" w:sz="8" w:space="0" w:color="5C6224" w:themeColor="accent5"/>
          <w:right w:val="single" w:sz="8" w:space="0" w:color="5C6224" w:themeColor="accent5"/>
        </w:tcBorders>
      </w:tcPr>
    </w:tblStylePr>
    <w:tblStylePr w:type="band1Vert">
      <w:tblPr/>
      <w:tcPr>
        <w:tcBorders>
          <w:top w:val="single" w:sz="8" w:space="0" w:color="5C6224" w:themeColor="accent5"/>
          <w:left w:val="single" w:sz="8" w:space="0" w:color="5C6224" w:themeColor="accent5"/>
          <w:bottom w:val="single" w:sz="8" w:space="0" w:color="5C6224" w:themeColor="accent5"/>
          <w:right w:val="single" w:sz="8" w:space="0" w:color="5C6224" w:themeColor="accent5"/>
        </w:tcBorders>
        <w:shd w:val="clear" w:color="auto" w:fill="E1E6BB" w:themeFill="accent5" w:themeFillTint="3F"/>
      </w:tcPr>
    </w:tblStylePr>
    <w:tblStylePr w:type="band1Horz">
      <w:tblPr/>
      <w:tcPr>
        <w:tcBorders>
          <w:top w:val="single" w:sz="8" w:space="0" w:color="5C6224" w:themeColor="accent5"/>
          <w:left w:val="single" w:sz="8" w:space="0" w:color="5C6224" w:themeColor="accent5"/>
          <w:bottom w:val="single" w:sz="8" w:space="0" w:color="5C6224" w:themeColor="accent5"/>
          <w:right w:val="single" w:sz="8" w:space="0" w:color="5C6224" w:themeColor="accent5"/>
          <w:insideV w:val="single" w:sz="8" w:space="0" w:color="5C6224" w:themeColor="accent5"/>
        </w:tcBorders>
        <w:shd w:val="clear" w:color="auto" w:fill="E1E6BB" w:themeFill="accent5" w:themeFillTint="3F"/>
      </w:tcPr>
    </w:tblStylePr>
    <w:tblStylePr w:type="band2Horz">
      <w:tblPr/>
      <w:tcPr>
        <w:tcBorders>
          <w:top w:val="single" w:sz="8" w:space="0" w:color="5C6224" w:themeColor="accent5"/>
          <w:left w:val="single" w:sz="8" w:space="0" w:color="5C6224" w:themeColor="accent5"/>
          <w:bottom w:val="single" w:sz="8" w:space="0" w:color="5C6224" w:themeColor="accent5"/>
          <w:right w:val="single" w:sz="8" w:space="0" w:color="5C6224" w:themeColor="accent5"/>
          <w:insideV w:val="single" w:sz="8" w:space="0" w:color="5C6224" w:themeColor="accent5"/>
        </w:tcBorders>
      </w:tcPr>
    </w:tblStylePr>
  </w:style>
  <w:style w:type="table" w:styleId="LightGrid-Accent6">
    <w:name w:val="Light Grid Accent 6"/>
    <w:basedOn w:val="TableNormal"/>
    <w:uiPriority w:val="62"/>
    <w:rsid w:val="00B37BD3"/>
    <w:tblPr>
      <w:tblStyleRowBandSize w:val="1"/>
      <w:tblStyleColBandSize w:val="1"/>
      <w:tblBorders>
        <w:top w:val="single" w:sz="8" w:space="0" w:color="136F55" w:themeColor="accent6"/>
        <w:left w:val="single" w:sz="8" w:space="0" w:color="136F55" w:themeColor="accent6"/>
        <w:bottom w:val="single" w:sz="8" w:space="0" w:color="136F55" w:themeColor="accent6"/>
        <w:right w:val="single" w:sz="8" w:space="0" w:color="136F55" w:themeColor="accent6"/>
        <w:insideH w:val="single" w:sz="8" w:space="0" w:color="136F55" w:themeColor="accent6"/>
        <w:insideV w:val="single" w:sz="8" w:space="0" w:color="136F5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36F55" w:themeColor="accent6"/>
          <w:left w:val="single" w:sz="8" w:space="0" w:color="136F55" w:themeColor="accent6"/>
          <w:bottom w:val="single" w:sz="18" w:space="0" w:color="136F55" w:themeColor="accent6"/>
          <w:right w:val="single" w:sz="8" w:space="0" w:color="136F55" w:themeColor="accent6"/>
          <w:insideH w:val="nil"/>
          <w:insideV w:val="single" w:sz="8" w:space="0" w:color="136F5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36F55" w:themeColor="accent6"/>
          <w:left w:val="single" w:sz="8" w:space="0" w:color="136F55" w:themeColor="accent6"/>
          <w:bottom w:val="single" w:sz="8" w:space="0" w:color="136F55" w:themeColor="accent6"/>
          <w:right w:val="single" w:sz="8" w:space="0" w:color="136F55" w:themeColor="accent6"/>
          <w:insideH w:val="nil"/>
          <w:insideV w:val="single" w:sz="8" w:space="0" w:color="136F5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36F55" w:themeColor="accent6"/>
          <w:left w:val="single" w:sz="8" w:space="0" w:color="136F55" w:themeColor="accent6"/>
          <w:bottom w:val="single" w:sz="8" w:space="0" w:color="136F55" w:themeColor="accent6"/>
          <w:right w:val="single" w:sz="8" w:space="0" w:color="136F55" w:themeColor="accent6"/>
        </w:tcBorders>
      </w:tcPr>
    </w:tblStylePr>
    <w:tblStylePr w:type="band1Vert">
      <w:tblPr/>
      <w:tcPr>
        <w:tcBorders>
          <w:top w:val="single" w:sz="8" w:space="0" w:color="136F55" w:themeColor="accent6"/>
          <w:left w:val="single" w:sz="8" w:space="0" w:color="136F55" w:themeColor="accent6"/>
          <w:bottom w:val="single" w:sz="8" w:space="0" w:color="136F55" w:themeColor="accent6"/>
          <w:right w:val="single" w:sz="8" w:space="0" w:color="136F55" w:themeColor="accent6"/>
        </w:tcBorders>
        <w:shd w:val="clear" w:color="auto" w:fill="AEF1DE" w:themeFill="accent6" w:themeFillTint="3F"/>
      </w:tcPr>
    </w:tblStylePr>
    <w:tblStylePr w:type="band1Horz">
      <w:tblPr/>
      <w:tcPr>
        <w:tcBorders>
          <w:top w:val="single" w:sz="8" w:space="0" w:color="136F55" w:themeColor="accent6"/>
          <w:left w:val="single" w:sz="8" w:space="0" w:color="136F55" w:themeColor="accent6"/>
          <w:bottom w:val="single" w:sz="8" w:space="0" w:color="136F55" w:themeColor="accent6"/>
          <w:right w:val="single" w:sz="8" w:space="0" w:color="136F55" w:themeColor="accent6"/>
          <w:insideV w:val="single" w:sz="8" w:space="0" w:color="136F55" w:themeColor="accent6"/>
        </w:tcBorders>
        <w:shd w:val="clear" w:color="auto" w:fill="AEF1DE" w:themeFill="accent6" w:themeFillTint="3F"/>
      </w:tcPr>
    </w:tblStylePr>
    <w:tblStylePr w:type="band2Horz">
      <w:tblPr/>
      <w:tcPr>
        <w:tcBorders>
          <w:top w:val="single" w:sz="8" w:space="0" w:color="136F55" w:themeColor="accent6"/>
          <w:left w:val="single" w:sz="8" w:space="0" w:color="136F55" w:themeColor="accent6"/>
          <w:bottom w:val="single" w:sz="8" w:space="0" w:color="136F55" w:themeColor="accent6"/>
          <w:right w:val="single" w:sz="8" w:space="0" w:color="136F55" w:themeColor="accent6"/>
          <w:insideV w:val="single" w:sz="8" w:space="0" w:color="136F55" w:themeColor="accent6"/>
        </w:tcBorders>
      </w:tcPr>
    </w:tblStylePr>
  </w:style>
  <w:style w:type="table" w:styleId="LightList">
    <w:name w:val="Light List"/>
    <w:basedOn w:val="TableNormal"/>
    <w:uiPriority w:val="61"/>
    <w:rsid w:val="00B37B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37BD3"/>
    <w:tblPr>
      <w:tblStyleRowBandSize w:val="1"/>
      <w:tblStyleColBandSize w:val="1"/>
      <w:tblBorders>
        <w:top w:val="single" w:sz="8" w:space="0" w:color="5EB9CF" w:themeColor="accent1"/>
        <w:left w:val="single" w:sz="8" w:space="0" w:color="5EB9CF" w:themeColor="accent1"/>
        <w:bottom w:val="single" w:sz="8" w:space="0" w:color="5EB9CF" w:themeColor="accent1"/>
        <w:right w:val="single" w:sz="8" w:space="0" w:color="5EB9CF" w:themeColor="accent1"/>
      </w:tblBorders>
    </w:tblPr>
    <w:tblStylePr w:type="firstRow">
      <w:pPr>
        <w:spacing w:before="0" w:after="0" w:line="240" w:lineRule="auto"/>
      </w:pPr>
      <w:rPr>
        <w:b/>
        <w:bCs/>
        <w:color w:val="FFFFFF" w:themeColor="background1"/>
      </w:rPr>
      <w:tblPr/>
      <w:tcPr>
        <w:shd w:val="clear" w:color="auto" w:fill="5EB9CF" w:themeFill="accent1"/>
      </w:tcPr>
    </w:tblStylePr>
    <w:tblStylePr w:type="lastRow">
      <w:pPr>
        <w:spacing w:before="0" w:after="0" w:line="240" w:lineRule="auto"/>
      </w:pPr>
      <w:rPr>
        <w:b/>
        <w:bCs/>
      </w:rPr>
      <w:tblPr/>
      <w:tcPr>
        <w:tcBorders>
          <w:top w:val="double" w:sz="6" w:space="0" w:color="5EB9CF" w:themeColor="accent1"/>
          <w:left w:val="single" w:sz="8" w:space="0" w:color="5EB9CF" w:themeColor="accent1"/>
          <w:bottom w:val="single" w:sz="8" w:space="0" w:color="5EB9CF" w:themeColor="accent1"/>
          <w:right w:val="single" w:sz="8" w:space="0" w:color="5EB9CF" w:themeColor="accent1"/>
        </w:tcBorders>
      </w:tcPr>
    </w:tblStylePr>
    <w:tblStylePr w:type="firstCol">
      <w:rPr>
        <w:b/>
        <w:bCs/>
      </w:rPr>
    </w:tblStylePr>
    <w:tblStylePr w:type="lastCol">
      <w:rPr>
        <w:b/>
        <w:bCs/>
      </w:rPr>
    </w:tblStylePr>
    <w:tblStylePr w:type="band1Vert">
      <w:tblPr/>
      <w:tcPr>
        <w:tcBorders>
          <w:top w:val="single" w:sz="8" w:space="0" w:color="5EB9CF" w:themeColor="accent1"/>
          <w:left w:val="single" w:sz="8" w:space="0" w:color="5EB9CF" w:themeColor="accent1"/>
          <w:bottom w:val="single" w:sz="8" w:space="0" w:color="5EB9CF" w:themeColor="accent1"/>
          <w:right w:val="single" w:sz="8" w:space="0" w:color="5EB9CF" w:themeColor="accent1"/>
        </w:tcBorders>
      </w:tcPr>
    </w:tblStylePr>
    <w:tblStylePr w:type="band1Horz">
      <w:tblPr/>
      <w:tcPr>
        <w:tcBorders>
          <w:top w:val="single" w:sz="8" w:space="0" w:color="5EB9CF" w:themeColor="accent1"/>
          <w:left w:val="single" w:sz="8" w:space="0" w:color="5EB9CF" w:themeColor="accent1"/>
          <w:bottom w:val="single" w:sz="8" w:space="0" w:color="5EB9CF" w:themeColor="accent1"/>
          <w:right w:val="single" w:sz="8" w:space="0" w:color="5EB9CF" w:themeColor="accent1"/>
        </w:tcBorders>
      </w:tcPr>
    </w:tblStylePr>
  </w:style>
  <w:style w:type="table" w:styleId="LightList-Accent2">
    <w:name w:val="Light List Accent 2"/>
    <w:basedOn w:val="TableNormal"/>
    <w:uiPriority w:val="61"/>
    <w:rsid w:val="00B37BD3"/>
    <w:tblPr>
      <w:tblStyleRowBandSize w:val="1"/>
      <w:tblStyleColBandSize w:val="1"/>
      <w:tblBorders>
        <w:top w:val="single" w:sz="8" w:space="0" w:color="A8A8A8" w:themeColor="accent2"/>
        <w:left w:val="single" w:sz="8" w:space="0" w:color="A8A8A8" w:themeColor="accent2"/>
        <w:bottom w:val="single" w:sz="8" w:space="0" w:color="A8A8A8" w:themeColor="accent2"/>
        <w:right w:val="single" w:sz="8" w:space="0" w:color="A8A8A8" w:themeColor="accent2"/>
      </w:tblBorders>
    </w:tblPr>
    <w:tblStylePr w:type="firstRow">
      <w:pPr>
        <w:spacing w:before="0" w:after="0" w:line="240" w:lineRule="auto"/>
      </w:pPr>
      <w:rPr>
        <w:b/>
        <w:bCs/>
        <w:color w:val="FFFFFF" w:themeColor="background1"/>
      </w:rPr>
      <w:tblPr/>
      <w:tcPr>
        <w:shd w:val="clear" w:color="auto" w:fill="A8A8A8" w:themeFill="accent2"/>
      </w:tcPr>
    </w:tblStylePr>
    <w:tblStylePr w:type="lastRow">
      <w:pPr>
        <w:spacing w:before="0" w:after="0" w:line="240" w:lineRule="auto"/>
      </w:pPr>
      <w:rPr>
        <w:b/>
        <w:bCs/>
      </w:rPr>
      <w:tblPr/>
      <w:tcPr>
        <w:tcBorders>
          <w:top w:val="double" w:sz="6" w:space="0" w:color="A8A8A8" w:themeColor="accent2"/>
          <w:left w:val="single" w:sz="8" w:space="0" w:color="A8A8A8" w:themeColor="accent2"/>
          <w:bottom w:val="single" w:sz="8" w:space="0" w:color="A8A8A8" w:themeColor="accent2"/>
          <w:right w:val="single" w:sz="8" w:space="0" w:color="A8A8A8" w:themeColor="accent2"/>
        </w:tcBorders>
      </w:tcPr>
    </w:tblStylePr>
    <w:tblStylePr w:type="firstCol">
      <w:rPr>
        <w:b/>
        <w:bCs/>
      </w:rPr>
    </w:tblStylePr>
    <w:tblStylePr w:type="lastCol">
      <w:rPr>
        <w:b/>
        <w:bCs/>
      </w:rPr>
    </w:tblStylePr>
    <w:tblStylePr w:type="band1Vert">
      <w:tblPr/>
      <w:tcPr>
        <w:tcBorders>
          <w:top w:val="single" w:sz="8" w:space="0" w:color="A8A8A8" w:themeColor="accent2"/>
          <w:left w:val="single" w:sz="8" w:space="0" w:color="A8A8A8" w:themeColor="accent2"/>
          <w:bottom w:val="single" w:sz="8" w:space="0" w:color="A8A8A8" w:themeColor="accent2"/>
          <w:right w:val="single" w:sz="8" w:space="0" w:color="A8A8A8" w:themeColor="accent2"/>
        </w:tcBorders>
      </w:tcPr>
    </w:tblStylePr>
    <w:tblStylePr w:type="band1Horz">
      <w:tblPr/>
      <w:tcPr>
        <w:tcBorders>
          <w:top w:val="single" w:sz="8" w:space="0" w:color="A8A8A8" w:themeColor="accent2"/>
          <w:left w:val="single" w:sz="8" w:space="0" w:color="A8A8A8" w:themeColor="accent2"/>
          <w:bottom w:val="single" w:sz="8" w:space="0" w:color="A8A8A8" w:themeColor="accent2"/>
          <w:right w:val="single" w:sz="8" w:space="0" w:color="A8A8A8" w:themeColor="accent2"/>
        </w:tcBorders>
      </w:tcPr>
    </w:tblStylePr>
  </w:style>
  <w:style w:type="table" w:styleId="LightList-Accent3">
    <w:name w:val="Light List Accent 3"/>
    <w:basedOn w:val="TableNormal"/>
    <w:uiPriority w:val="61"/>
    <w:rsid w:val="00B37BD3"/>
    <w:tblPr>
      <w:tblStyleRowBandSize w:val="1"/>
      <w:tblStyleColBandSize w:val="1"/>
      <w:tblBorders>
        <w:top w:val="single" w:sz="8" w:space="0" w:color="75B39D" w:themeColor="accent3"/>
        <w:left w:val="single" w:sz="8" w:space="0" w:color="75B39D" w:themeColor="accent3"/>
        <w:bottom w:val="single" w:sz="8" w:space="0" w:color="75B39D" w:themeColor="accent3"/>
        <w:right w:val="single" w:sz="8" w:space="0" w:color="75B39D" w:themeColor="accent3"/>
      </w:tblBorders>
    </w:tblPr>
    <w:tblStylePr w:type="firstRow">
      <w:pPr>
        <w:spacing w:before="0" w:after="0" w:line="240" w:lineRule="auto"/>
      </w:pPr>
      <w:rPr>
        <w:b/>
        <w:bCs/>
        <w:color w:val="FFFFFF" w:themeColor="background1"/>
      </w:rPr>
      <w:tblPr/>
      <w:tcPr>
        <w:shd w:val="clear" w:color="auto" w:fill="75B39D" w:themeFill="accent3"/>
      </w:tcPr>
    </w:tblStylePr>
    <w:tblStylePr w:type="lastRow">
      <w:pPr>
        <w:spacing w:before="0" w:after="0" w:line="240" w:lineRule="auto"/>
      </w:pPr>
      <w:rPr>
        <w:b/>
        <w:bCs/>
      </w:rPr>
      <w:tblPr/>
      <w:tcPr>
        <w:tcBorders>
          <w:top w:val="double" w:sz="6" w:space="0" w:color="75B39D" w:themeColor="accent3"/>
          <w:left w:val="single" w:sz="8" w:space="0" w:color="75B39D" w:themeColor="accent3"/>
          <w:bottom w:val="single" w:sz="8" w:space="0" w:color="75B39D" w:themeColor="accent3"/>
          <w:right w:val="single" w:sz="8" w:space="0" w:color="75B39D" w:themeColor="accent3"/>
        </w:tcBorders>
      </w:tcPr>
    </w:tblStylePr>
    <w:tblStylePr w:type="firstCol">
      <w:rPr>
        <w:b/>
        <w:bCs/>
      </w:rPr>
    </w:tblStylePr>
    <w:tblStylePr w:type="lastCol">
      <w:rPr>
        <w:b/>
        <w:bCs/>
      </w:rPr>
    </w:tblStylePr>
    <w:tblStylePr w:type="band1Vert">
      <w:tblPr/>
      <w:tcPr>
        <w:tcBorders>
          <w:top w:val="single" w:sz="8" w:space="0" w:color="75B39D" w:themeColor="accent3"/>
          <w:left w:val="single" w:sz="8" w:space="0" w:color="75B39D" w:themeColor="accent3"/>
          <w:bottom w:val="single" w:sz="8" w:space="0" w:color="75B39D" w:themeColor="accent3"/>
          <w:right w:val="single" w:sz="8" w:space="0" w:color="75B39D" w:themeColor="accent3"/>
        </w:tcBorders>
      </w:tcPr>
    </w:tblStylePr>
    <w:tblStylePr w:type="band1Horz">
      <w:tblPr/>
      <w:tcPr>
        <w:tcBorders>
          <w:top w:val="single" w:sz="8" w:space="0" w:color="75B39D" w:themeColor="accent3"/>
          <w:left w:val="single" w:sz="8" w:space="0" w:color="75B39D" w:themeColor="accent3"/>
          <w:bottom w:val="single" w:sz="8" w:space="0" w:color="75B39D" w:themeColor="accent3"/>
          <w:right w:val="single" w:sz="8" w:space="0" w:color="75B39D" w:themeColor="accent3"/>
        </w:tcBorders>
      </w:tcPr>
    </w:tblStylePr>
  </w:style>
  <w:style w:type="table" w:styleId="LightList-Accent4">
    <w:name w:val="Light List Accent 4"/>
    <w:basedOn w:val="TableNormal"/>
    <w:uiPriority w:val="61"/>
    <w:rsid w:val="00B37BD3"/>
    <w:tblPr>
      <w:tblStyleRowBandSize w:val="1"/>
      <w:tblStyleColBandSize w:val="1"/>
      <w:tblBorders>
        <w:top w:val="single" w:sz="8" w:space="0" w:color="891B2D" w:themeColor="accent4"/>
        <w:left w:val="single" w:sz="8" w:space="0" w:color="891B2D" w:themeColor="accent4"/>
        <w:bottom w:val="single" w:sz="8" w:space="0" w:color="891B2D" w:themeColor="accent4"/>
        <w:right w:val="single" w:sz="8" w:space="0" w:color="891B2D" w:themeColor="accent4"/>
      </w:tblBorders>
    </w:tblPr>
    <w:tblStylePr w:type="firstRow">
      <w:pPr>
        <w:spacing w:before="0" w:after="0" w:line="240" w:lineRule="auto"/>
      </w:pPr>
      <w:rPr>
        <w:b/>
        <w:bCs/>
        <w:color w:val="FFFFFF" w:themeColor="background1"/>
      </w:rPr>
      <w:tblPr/>
      <w:tcPr>
        <w:shd w:val="clear" w:color="auto" w:fill="891B2D" w:themeFill="accent4"/>
      </w:tcPr>
    </w:tblStylePr>
    <w:tblStylePr w:type="lastRow">
      <w:pPr>
        <w:spacing w:before="0" w:after="0" w:line="240" w:lineRule="auto"/>
      </w:pPr>
      <w:rPr>
        <w:b/>
        <w:bCs/>
      </w:rPr>
      <w:tblPr/>
      <w:tcPr>
        <w:tcBorders>
          <w:top w:val="double" w:sz="6" w:space="0" w:color="891B2D" w:themeColor="accent4"/>
          <w:left w:val="single" w:sz="8" w:space="0" w:color="891B2D" w:themeColor="accent4"/>
          <w:bottom w:val="single" w:sz="8" w:space="0" w:color="891B2D" w:themeColor="accent4"/>
          <w:right w:val="single" w:sz="8" w:space="0" w:color="891B2D" w:themeColor="accent4"/>
        </w:tcBorders>
      </w:tcPr>
    </w:tblStylePr>
    <w:tblStylePr w:type="firstCol">
      <w:rPr>
        <w:b/>
        <w:bCs/>
      </w:rPr>
    </w:tblStylePr>
    <w:tblStylePr w:type="lastCol">
      <w:rPr>
        <w:b/>
        <w:bCs/>
      </w:rPr>
    </w:tblStylePr>
    <w:tblStylePr w:type="band1Vert">
      <w:tblPr/>
      <w:tcPr>
        <w:tcBorders>
          <w:top w:val="single" w:sz="8" w:space="0" w:color="891B2D" w:themeColor="accent4"/>
          <w:left w:val="single" w:sz="8" w:space="0" w:color="891B2D" w:themeColor="accent4"/>
          <w:bottom w:val="single" w:sz="8" w:space="0" w:color="891B2D" w:themeColor="accent4"/>
          <w:right w:val="single" w:sz="8" w:space="0" w:color="891B2D" w:themeColor="accent4"/>
        </w:tcBorders>
      </w:tcPr>
    </w:tblStylePr>
    <w:tblStylePr w:type="band1Horz">
      <w:tblPr/>
      <w:tcPr>
        <w:tcBorders>
          <w:top w:val="single" w:sz="8" w:space="0" w:color="891B2D" w:themeColor="accent4"/>
          <w:left w:val="single" w:sz="8" w:space="0" w:color="891B2D" w:themeColor="accent4"/>
          <w:bottom w:val="single" w:sz="8" w:space="0" w:color="891B2D" w:themeColor="accent4"/>
          <w:right w:val="single" w:sz="8" w:space="0" w:color="891B2D" w:themeColor="accent4"/>
        </w:tcBorders>
      </w:tcPr>
    </w:tblStylePr>
  </w:style>
  <w:style w:type="table" w:styleId="LightList-Accent5">
    <w:name w:val="Light List Accent 5"/>
    <w:basedOn w:val="TableNormal"/>
    <w:uiPriority w:val="61"/>
    <w:rsid w:val="00B37BD3"/>
    <w:tblPr>
      <w:tblStyleRowBandSize w:val="1"/>
      <w:tblStyleColBandSize w:val="1"/>
      <w:tblBorders>
        <w:top w:val="single" w:sz="8" w:space="0" w:color="5C6224" w:themeColor="accent5"/>
        <w:left w:val="single" w:sz="8" w:space="0" w:color="5C6224" w:themeColor="accent5"/>
        <w:bottom w:val="single" w:sz="8" w:space="0" w:color="5C6224" w:themeColor="accent5"/>
        <w:right w:val="single" w:sz="8" w:space="0" w:color="5C6224" w:themeColor="accent5"/>
      </w:tblBorders>
    </w:tblPr>
    <w:tblStylePr w:type="firstRow">
      <w:pPr>
        <w:spacing w:before="0" w:after="0" w:line="240" w:lineRule="auto"/>
      </w:pPr>
      <w:rPr>
        <w:b/>
        <w:bCs/>
        <w:color w:val="FFFFFF" w:themeColor="background1"/>
      </w:rPr>
      <w:tblPr/>
      <w:tcPr>
        <w:shd w:val="clear" w:color="auto" w:fill="5C6224" w:themeFill="accent5"/>
      </w:tcPr>
    </w:tblStylePr>
    <w:tblStylePr w:type="lastRow">
      <w:pPr>
        <w:spacing w:before="0" w:after="0" w:line="240" w:lineRule="auto"/>
      </w:pPr>
      <w:rPr>
        <w:b/>
        <w:bCs/>
      </w:rPr>
      <w:tblPr/>
      <w:tcPr>
        <w:tcBorders>
          <w:top w:val="double" w:sz="6" w:space="0" w:color="5C6224" w:themeColor="accent5"/>
          <w:left w:val="single" w:sz="8" w:space="0" w:color="5C6224" w:themeColor="accent5"/>
          <w:bottom w:val="single" w:sz="8" w:space="0" w:color="5C6224" w:themeColor="accent5"/>
          <w:right w:val="single" w:sz="8" w:space="0" w:color="5C6224" w:themeColor="accent5"/>
        </w:tcBorders>
      </w:tcPr>
    </w:tblStylePr>
    <w:tblStylePr w:type="firstCol">
      <w:rPr>
        <w:b/>
        <w:bCs/>
      </w:rPr>
    </w:tblStylePr>
    <w:tblStylePr w:type="lastCol">
      <w:rPr>
        <w:b/>
        <w:bCs/>
      </w:rPr>
    </w:tblStylePr>
    <w:tblStylePr w:type="band1Vert">
      <w:tblPr/>
      <w:tcPr>
        <w:tcBorders>
          <w:top w:val="single" w:sz="8" w:space="0" w:color="5C6224" w:themeColor="accent5"/>
          <w:left w:val="single" w:sz="8" w:space="0" w:color="5C6224" w:themeColor="accent5"/>
          <w:bottom w:val="single" w:sz="8" w:space="0" w:color="5C6224" w:themeColor="accent5"/>
          <w:right w:val="single" w:sz="8" w:space="0" w:color="5C6224" w:themeColor="accent5"/>
        </w:tcBorders>
      </w:tcPr>
    </w:tblStylePr>
    <w:tblStylePr w:type="band1Horz">
      <w:tblPr/>
      <w:tcPr>
        <w:tcBorders>
          <w:top w:val="single" w:sz="8" w:space="0" w:color="5C6224" w:themeColor="accent5"/>
          <w:left w:val="single" w:sz="8" w:space="0" w:color="5C6224" w:themeColor="accent5"/>
          <w:bottom w:val="single" w:sz="8" w:space="0" w:color="5C6224" w:themeColor="accent5"/>
          <w:right w:val="single" w:sz="8" w:space="0" w:color="5C6224" w:themeColor="accent5"/>
        </w:tcBorders>
      </w:tcPr>
    </w:tblStylePr>
  </w:style>
  <w:style w:type="table" w:styleId="LightList-Accent6">
    <w:name w:val="Light List Accent 6"/>
    <w:basedOn w:val="TableNormal"/>
    <w:uiPriority w:val="61"/>
    <w:rsid w:val="00B37BD3"/>
    <w:tblPr>
      <w:tblStyleRowBandSize w:val="1"/>
      <w:tblStyleColBandSize w:val="1"/>
      <w:tblBorders>
        <w:top w:val="single" w:sz="8" w:space="0" w:color="136F55" w:themeColor="accent6"/>
        <w:left w:val="single" w:sz="8" w:space="0" w:color="136F55" w:themeColor="accent6"/>
        <w:bottom w:val="single" w:sz="8" w:space="0" w:color="136F55" w:themeColor="accent6"/>
        <w:right w:val="single" w:sz="8" w:space="0" w:color="136F55" w:themeColor="accent6"/>
      </w:tblBorders>
    </w:tblPr>
    <w:tblStylePr w:type="firstRow">
      <w:pPr>
        <w:spacing w:before="0" w:after="0" w:line="240" w:lineRule="auto"/>
      </w:pPr>
      <w:rPr>
        <w:b/>
        <w:bCs/>
        <w:color w:val="FFFFFF" w:themeColor="background1"/>
      </w:rPr>
      <w:tblPr/>
      <w:tcPr>
        <w:shd w:val="clear" w:color="auto" w:fill="136F55" w:themeFill="accent6"/>
      </w:tcPr>
    </w:tblStylePr>
    <w:tblStylePr w:type="lastRow">
      <w:pPr>
        <w:spacing w:before="0" w:after="0" w:line="240" w:lineRule="auto"/>
      </w:pPr>
      <w:rPr>
        <w:b/>
        <w:bCs/>
      </w:rPr>
      <w:tblPr/>
      <w:tcPr>
        <w:tcBorders>
          <w:top w:val="double" w:sz="6" w:space="0" w:color="136F55" w:themeColor="accent6"/>
          <w:left w:val="single" w:sz="8" w:space="0" w:color="136F55" w:themeColor="accent6"/>
          <w:bottom w:val="single" w:sz="8" w:space="0" w:color="136F55" w:themeColor="accent6"/>
          <w:right w:val="single" w:sz="8" w:space="0" w:color="136F55" w:themeColor="accent6"/>
        </w:tcBorders>
      </w:tcPr>
    </w:tblStylePr>
    <w:tblStylePr w:type="firstCol">
      <w:rPr>
        <w:b/>
        <w:bCs/>
      </w:rPr>
    </w:tblStylePr>
    <w:tblStylePr w:type="lastCol">
      <w:rPr>
        <w:b/>
        <w:bCs/>
      </w:rPr>
    </w:tblStylePr>
    <w:tblStylePr w:type="band1Vert">
      <w:tblPr/>
      <w:tcPr>
        <w:tcBorders>
          <w:top w:val="single" w:sz="8" w:space="0" w:color="136F55" w:themeColor="accent6"/>
          <w:left w:val="single" w:sz="8" w:space="0" w:color="136F55" w:themeColor="accent6"/>
          <w:bottom w:val="single" w:sz="8" w:space="0" w:color="136F55" w:themeColor="accent6"/>
          <w:right w:val="single" w:sz="8" w:space="0" w:color="136F55" w:themeColor="accent6"/>
        </w:tcBorders>
      </w:tcPr>
    </w:tblStylePr>
    <w:tblStylePr w:type="band1Horz">
      <w:tblPr/>
      <w:tcPr>
        <w:tcBorders>
          <w:top w:val="single" w:sz="8" w:space="0" w:color="136F55" w:themeColor="accent6"/>
          <w:left w:val="single" w:sz="8" w:space="0" w:color="136F55" w:themeColor="accent6"/>
          <w:bottom w:val="single" w:sz="8" w:space="0" w:color="136F55" w:themeColor="accent6"/>
          <w:right w:val="single" w:sz="8" w:space="0" w:color="136F55" w:themeColor="accent6"/>
        </w:tcBorders>
      </w:tcPr>
    </w:tblStylePr>
  </w:style>
  <w:style w:type="table" w:styleId="LightShading">
    <w:name w:val="Light Shading"/>
    <w:basedOn w:val="TableNormal"/>
    <w:uiPriority w:val="60"/>
    <w:rsid w:val="00B37B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37BD3"/>
    <w:rPr>
      <w:color w:val="3395AD" w:themeColor="accent1" w:themeShade="BF"/>
    </w:rPr>
    <w:tblPr>
      <w:tblStyleRowBandSize w:val="1"/>
      <w:tblStyleColBandSize w:val="1"/>
      <w:tblBorders>
        <w:top w:val="single" w:sz="8" w:space="0" w:color="5EB9CF" w:themeColor="accent1"/>
        <w:bottom w:val="single" w:sz="8" w:space="0" w:color="5EB9CF" w:themeColor="accent1"/>
      </w:tblBorders>
    </w:tblPr>
    <w:tblStylePr w:type="firstRow">
      <w:pPr>
        <w:spacing w:before="0" w:after="0" w:line="240" w:lineRule="auto"/>
      </w:pPr>
      <w:rPr>
        <w:b/>
        <w:bCs/>
      </w:rPr>
      <w:tblPr/>
      <w:tcPr>
        <w:tcBorders>
          <w:top w:val="single" w:sz="8" w:space="0" w:color="5EB9CF" w:themeColor="accent1"/>
          <w:left w:val="nil"/>
          <w:bottom w:val="single" w:sz="8" w:space="0" w:color="5EB9CF" w:themeColor="accent1"/>
          <w:right w:val="nil"/>
          <w:insideH w:val="nil"/>
          <w:insideV w:val="nil"/>
        </w:tcBorders>
      </w:tcPr>
    </w:tblStylePr>
    <w:tblStylePr w:type="lastRow">
      <w:pPr>
        <w:spacing w:before="0" w:after="0" w:line="240" w:lineRule="auto"/>
      </w:pPr>
      <w:rPr>
        <w:b/>
        <w:bCs/>
      </w:rPr>
      <w:tblPr/>
      <w:tcPr>
        <w:tcBorders>
          <w:top w:val="single" w:sz="8" w:space="0" w:color="5EB9CF" w:themeColor="accent1"/>
          <w:left w:val="nil"/>
          <w:bottom w:val="single" w:sz="8" w:space="0" w:color="5EB9C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DF3" w:themeFill="accent1" w:themeFillTint="3F"/>
      </w:tcPr>
    </w:tblStylePr>
    <w:tblStylePr w:type="band1Horz">
      <w:tblPr/>
      <w:tcPr>
        <w:tcBorders>
          <w:left w:val="nil"/>
          <w:right w:val="nil"/>
          <w:insideH w:val="nil"/>
          <w:insideV w:val="nil"/>
        </w:tcBorders>
        <w:shd w:val="clear" w:color="auto" w:fill="D7EDF3" w:themeFill="accent1" w:themeFillTint="3F"/>
      </w:tcPr>
    </w:tblStylePr>
  </w:style>
  <w:style w:type="table" w:styleId="LightShading-Accent2">
    <w:name w:val="Light Shading Accent 2"/>
    <w:basedOn w:val="TableNormal"/>
    <w:uiPriority w:val="60"/>
    <w:rsid w:val="00B37BD3"/>
    <w:rPr>
      <w:color w:val="7D7D7D" w:themeColor="accent2" w:themeShade="BF"/>
    </w:rPr>
    <w:tblPr>
      <w:tblStyleRowBandSize w:val="1"/>
      <w:tblStyleColBandSize w:val="1"/>
      <w:tblBorders>
        <w:top w:val="single" w:sz="8" w:space="0" w:color="A8A8A8" w:themeColor="accent2"/>
        <w:bottom w:val="single" w:sz="8" w:space="0" w:color="A8A8A8" w:themeColor="accent2"/>
      </w:tblBorders>
    </w:tblPr>
    <w:tblStylePr w:type="firstRow">
      <w:pPr>
        <w:spacing w:before="0" w:after="0" w:line="240" w:lineRule="auto"/>
      </w:pPr>
      <w:rPr>
        <w:b/>
        <w:bCs/>
      </w:rPr>
      <w:tblPr/>
      <w:tcPr>
        <w:tcBorders>
          <w:top w:val="single" w:sz="8" w:space="0" w:color="A8A8A8" w:themeColor="accent2"/>
          <w:left w:val="nil"/>
          <w:bottom w:val="single" w:sz="8" w:space="0" w:color="A8A8A8" w:themeColor="accent2"/>
          <w:right w:val="nil"/>
          <w:insideH w:val="nil"/>
          <w:insideV w:val="nil"/>
        </w:tcBorders>
      </w:tcPr>
    </w:tblStylePr>
    <w:tblStylePr w:type="lastRow">
      <w:pPr>
        <w:spacing w:before="0" w:after="0" w:line="240" w:lineRule="auto"/>
      </w:pPr>
      <w:rPr>
        <w:b/>
        <w:bCs/>
      </w:rPr>
      <w:tblPr/>
      <w:tcPr>
        <w:tcBorders>
          <w:top w:val="single" w:sz="8" w:space="0" w:color="A8A8A8" w:themeColor="accent2"/>
          <w:left w:val="nil"/>
          <w:bottom w:val="single" w:sz="8" w:space="0" w:color="A8A8A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9E9" w:themeFill="accent2" w:themeFillTint="3F"/>
      </w:tcPr>
    </w:tblStylePr>
    <w:tblStylePr w:type="band1Horz">
      <w:tblPr/>
      <w:tcPr>
        <w:tcBorders>
          <w:left w:val="nil"/>
          <w:right w:val="nil"/>
          <w:insideH w:val="nil"/>
          <w:insideV w:val="nil"/>
        </w:tcBorders>
        <w:shd w:val="clear" w:color="auto" w:fill="E9E9E9" w:themeFill="accent2" w:themeFillTint="3F"/>
      </w:tcPr>
    </w:tblStylePr>
  </w:style>
  <w:style w:type="table" w:styleId="LightShading-Accent3">
    <w:name w:val="Light Shading Accent 3"/>
    <w:basedOn w:val="TableNormal"/>
    <w:uiPriority w:val="60"/>
    <w:rsid w:val="00B37BD3"/>
    <w:rPr>
      <w:color w:val="4E8E77" w:themeColor="accent3" w:themeShade="BF"/>
    </w:rPr>
    <w:tblPr>
      <w:tblStyleRowBandSize w:val="1"/>
      <w:tblStyleColBandSize w:val="1"/>
      <w:tblBorders>
        <w:top w:val="single" w:sz="8" w:space="0" w:color="75B39D" w:themeColor="accent3"/>
        <w:bottom w:val="single" w:sz="8" w:space="0" w:color="75B39D" w:themeColor="accent3"/>
      </w:tblBorders>
    </w:tblPr>
    <w:tblStylePr w:type="firstRow">
      <w:pPr>
        <w:spacing w:before="0" w:after="0" w:line="240" w:lineRule="auto"/>
      </w:pPr>
      <w:rPr>
        <w:b/>
        <w:bCs/>
      </w:rPr>
      <w:tblPr/>
      <w:tcPr>
        <w:tcBorders>
          <w:top w:val="single" w:sz="8" w:space="0" w:color="75B39D" w:themeColor="accent3"/>
          <w:left w:val="nil"/>
          <w:bottom w:val="single" w:sz="8" w:space="0" w:color="75B39D" w:themeColor="accent3"/>
          <w:right w:val="nil"/>
          <w:insideH w:val="nil"/>
          <w:insideV w:val="nil"/>
        </w:tcBorders>
      </w:tcPr>
    </w:tblStylePr>
    <w:tblStylePr w:type="lastRow">
      <w:pPr>
        <w:spacing w:before="0" w:after="0" w:line="240" w:lineRule="auto"/>
      </w:pPr>
      <w:rPr>
        <w:b/>
        <w:bCs/>
      </w:rPr>
      <w:tblPr/>
      <w:tcPr>
        <w:tcBorders>
          <w:top w:val="single" w:sz="8" w:space="0" w:color="75B39D" w:themeColor="accent3"/>
          <w:left w:val="nil"/>
          <w:bottom w:val="single" w:sz="8" w:space="0" w:color="75B39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CE6" w:themeFill="accent3" w:themeFillTint="3F"/>
      </w:tcPr>
    </w:tblStylePr>
    <w:tblStylePr w:type="band1Horz">
      <w:tblPr/>
      <w:tcPr>
        <w:tcBorders>
          <w:left w:val="nil"/>
          <w:right w:val="nil"/>
          <w:insideH w:val="nil"/>
          <w:insideV w:val="nil"/>
        </w:tcBorders>
        <w:shd w:val="clear" w:color="auto" w:fill="DCECE6" w:themeFill="accent3" w:themeFillTint="3F"/>
      </w:tcPr>
    </w:tblStylePr>
  </w:style>
  <w:style w:type="table" w:styleId="LightShading-Accent4">
    <w:name w:val="Light Shading Accent 4"/>
    <w:basedOn w:val="TableNormal"/>
    <w:uiPriority w:val="60"/>
    <w:rsid w:val="00B37BD3"/>
    <w:rPr>
      <w:color w:val="661421" w:themeColor="accent4" w:themeShade="BF"/>
    </w:rPr>
    <w:tblPr>
      <w:tblStyleRowBandSize w:val="1"/>
      <w:tblStyleColBandSize w:val="1"/>
      <w:tblBorders>
        <w:top w:val="single" w:sz="8" w:space="0" w:color="891B2D" w:themeColor="accent4"/>
        <w:bottom w:val="single" w:sz="8" w:space="0" w:color="891B2D" w:themeColor="accent4"/>
      </w:tblBorders>
    </w:tblPr>
    <w:tblStylePr w:type="firstRow">
      <w:pPr>
        <w:spacing w:before="0" w:after="0" w:line="240" w:lineRule="auto"/>
      </w:pPr>
      <w:rPr>
        <w:b/>
        <w:bCs/>
      </w:rPr>
      <w:tblPr/>
      <w:tcPr>
        <w:tcBorders>
          <w:top w:val="single" w:sz="8" w:space="0" w:color="891B2D" w:themeColor="accent4"/>
          <w:left w:val="nil"/>
          <w:bottom w:val="single" w:sz="8" w:space="0" w:color="891B2D" w:themeColor="accent4"/>
          <w:right w:val="nil"/>
          <w:insideH w:val="nil"/>
          <w:insideV w:val="nil"/>
        </w:tcBorders>
      </w:tcPr>
    </w:tblStylePr>
    <w:tblStylePr w:type="lastRow">
      <w:pPr>
        <w:spacing w:before="0" w:after="0" w:line="240" w:lineRule="auto"/>
      </w:pPr>
      <w:rPr>
        <w:b/>
        <w:bCs/>
      </w:rPr>
      <w:tblPr/>
      <w:tcPr>
        <w:tcBorders>
          <w:top w:val="single" w:sz="8" w:space="0" w:color="891B2D" w:themeColor="accent4"/>
          <w:left w:val="nil"/>
          <w:bottom w:val="single" w:sz="8" w:space="0" w:color="891B2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7C0" w:themeFill="accent4" w:themeFillTint="3F"/>
      </w:tcPr>
    </w:tblStylePr>
    <w:tblStylePr w:type="band1Horz">
      <w:tblPr/>
      <w:tcPr>
        <w:tcBorders>
          <w:left w:val="nil"/>
          <w:right w:val="nil"/>
          <w:insideH w:val="nil"/>
          <w:insideV w:val="nil"/>
        </w:tcBorders>
        <w:shd w:val="clear" w:color="auto" w:fill="F1B7C0" w:themeFill="accent4" w:themeFillTint="3F"/>
      </w:tcPr>
    </w:tblStylePr>
  </w:style>
  <w:style w:type="table" w:styleId="LightShading-Accent5">
    <w:name w:val="Light Shading Accent 5"/>
    <w:basedOn w:val="TableNormal"/>
    <w:uiPriority w:val="60"/>
    <w:rsid w:val="00B37BD3"/>
    <w:rPr>
      <w:color w:val="44491B" w:themeColor="accent5" w:themeShade="BF"/>
    </w:rPr>
    <w:tblPr>
      <w:tblStyleRowBandSize w:val="1"/>
      <w:tblStyleColBandSize w:val="1"/>
      <w:tblBorders>
        <w:top w:val="single" w:sz="8" w:space="0" w:color="5C6224" w:themeColor="accent5"/>
        <w:bottom w:val="single" w:sz="8" w:space="0" w:color="5C6224" w:themeColor="accent5"/>
      </w:tblBorders>
    </w:tblPr>
    <w:tblStylePr w:type="firstRow">
      <w:pPr>
        <w:spacing w:before="0" w:after="0" w:line="240" w:lineRule="auto"/>
      </w:pPr>
      <w:rPr>
        <w:b/>
        <w:bCs/>
      </w:rPr>
      <w:tblPr/>
      <w:tcPr>
        <w:tcBorders>
          <w:top w:val="single" w:sz="8" w:space="0" w:color="5C6224" w:themeColor="accent5"/>
          <w:left w:val="nil"/>
          <w:bottom w:val="single" w:sz="8" w:space="0" w:color="5C6224" w:themeColor="accent5"/>
          <w:right w:val="nil"/>
          <w:insideH w:val="nil"/>
          <w:insideV w:val="nil"/>
        </w:tcBorders>
      </w:tcPr>
    </w:tblStylePr>
    <w:tblStylePr w:type="lastRow">
      <w:pPr>
        <w:spacing w:before="0" w:after="0" w:line="240" w:lineRule="auto"/>
      </w:pPr>
      <w:rPr>
        <w:b/>
        <w:bCs/>
      </w:rPr>
      <w:tblPr/>
      <w:tcPr>
        <w:tcBorders>
          <w:top w:val="single" w:sz="8" w:space="0" w:color="5C6224" w:themeColor="accent5"/>
          <w:left w:val="nil"/>
          <w:bottom w:val="single" w:sz="8" w:space="0" w:color="5C622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6BB" w:themeFill="accent5" w:themeFillTint="3F"/>
      </w:tcPr>
    </w:tblStylePr>
    <w:tblStylePr w:type="band1Horz">
      <w:tblPr/>
      <w:tcPr>
        <w:tcBorders>
          <w:left w:val="nil"/>
          <w:right w:val="nil"/>
          <w:insideH w:val="nil"/>
          <w:insideV w:val="nil"/>
        </w:tcBorders>
        <w:shd w:val="clear" w:color="auto" w:fill="E1E6BB" w:themeFill="accent5" w:themeFillTint="3F"/>
      </w:tcPr>
    </w:tblStylePr>
  </w:style>
  <w:style w:type="table" w:styleId="LightShading-Accent6">
    <w:name w:val="Light Shading Accent 6"/>
    <w:basedOn w:val="TableNormal"/>
    <w:uiPriority w:val="60"/>
    <w:rsid w:val="00B37BD3"/>
    <w:rPr>
      <w:color w:val="0E533F" w:themeColor="accent6" w:themeShade="BF"/>
    </w:rPr>
    <w:tblPr>
      <w:tblStyleRowBandSize w:val="1"/>
      <w:tblStyleColBandSize w:val="1"/>
      <w:tblBorders>
        <w:top w:val="single" w:sz="8" w:space="0" w:color="136F55" w:themeColor="accent6"/>
        <w:bottom w:val="single" w:sz="8" w:space="0" w:color="136F55" w:themeColor="accent6"/>
      </w:tblBorders>
    </w:tblPr>
    <w:tblStylePr w:type="firstRow">
      <w:pPr>
        <w:spacing w:before="0" w:after="0" w:line="240" w:lineRule="auto"/>
      </w:pPr>
      <w:rPr>
        <w:b/>
        <w:bCs/>
      </w:rPr>
      <w:tblPr/>
      <w:tcPr>
        <w:tcBorders>
          <w:top w:val="single" w:sz="8" w:space="0" w:color="136F55" w:themeColor="accent6"/>
          <w:left w:val="nil"/>
          <w:bottom w:val="single" w:sz="8" w:space="0" w:color="136F55" w:themeColor="accent6"/>
          <w:right w:val="nil"/>
          <w:insideH w:val="nil"/>
          <w:insideV w:val="nil"/>
        </w:tcBorders>
      </w:tcPr>
    </w:tblStylePr>
    <w:tblStylePr w:type="lastRow">
      <w:pPr>
        <w:spacing w:before="0" w:after="0" w:line="240" w:lineRule="auto"/>
      </w:pPr>
      <w:rPr>
        <w:b/>
        <w:bCs/>
      </w:rPr>
      <w:tblPr/>
      <w:tcPr>
        <w:tcBorders>
          <w:top w:val="single" w:sz="8" w:space="0" w:color="136F55" w:themeColor="accent6"/>
          <w:left w:val="nil"/>
          <w:bottom w:val="single" w:sz="8" w:space="0" w:color="136F5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F1DE" w:themeFill="accent6" w:themeFillTint="3F"/>
      </w:tcPr>
    </w:tblStylePr>
    <w:tblStylePr w:type="band1Horz">
      <w:tblPr/>
      <w:tcPr>
        <w:tcBorders>
          <w:left w:val="nil"/>
          <w:right w:val="nil"/>
          <w:insideH w:val="nil"/>
          <w:insideV w:val="nil"/>
        </w:tcBorders>
        <w:shd w:val="clear" w:color="auto" w:fill="AEF1DE" w:themeFill="accent6" w:themeFillTint="3F"/>
      </w:tcPr>
    </w:tblStylePr>
  </w:style>
  <w:style w:type="paragraph" w:styleId="ListParagraph">
    <w:name w:val="List Paragraph"/>
    <w:basedOn w:val="Normal"/>
    <w:uiPriority w:val="34"/>
    <w:qFormat/>
    <w:rsid w:val="00B37BD3"/>
    <w:pPr>
      <w:ind w:left="720"/>
      <w:contextualSpacing/>
    </w:pPr>
  </w:style>
  <w:style w:type="table" w:styleId="MediumGrid1">
    <w:name w:val="Medium Grid 1"/>
    <w:basedOn w:val="TableNormal"/>
    <w:uiPriority w:val="67"/>
    <w:rsid w:val="00B37B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37BD3"/>
    <w:tblPr>
      <w:tblStyleRowBandSize w:val="1"/>
      <w:tblStyleColBandSize w:val="1"/>
      <w:tblBorders>
        <w:top w:val="single" w:sz="8" w:space="0" w:color="86CADB" w:themeColor="accent1" w:themeTint="BF"/>
        <w:left w:val="single" w:sz="8" w:space="0" w:color="86CADB" w:themeColor="accent1" w:themeTint="BF"/>
        <w:bottom w:val="single" w:sz="8" w:space="0" w:color="86CADB" w:themeColor="accent1" w:themeTint="BF"/>
        <w:right w:val="single" w:sz="8" w:space="0" w:color="86CADB" w:themeColor="accent1" w:themeTint="BF"/>
        <w:insideH w:val="single" w:sz="8" w:space="0" w:color="86CADB" w:themeColor="accent1" w:themeTint="BF"/>
        <w:insideV w:val="single" w:sz="8" w:space="0" w:color="86CADB" w:themeColor="accent1" w:themeTint="BF"/>
      </w:tblBorders>
    </w:tblPr>
    <w:tcPr>
      <w:shd w:val="clear" w:color="auto" w:fill="D7EDF3" w:themeFill="accent1" w:themeFillTint="3F"/>
    </w:tcPr>
    <w:tblStylePr w:type="firstRow">
      <w:rPr>
        <w:b/>
        <w:bCs/>
      </w:rPr>
    </w:tblStylePr>
    <w:tblStylePr w:type="lastRow">
      <w:rPr>
        <w:b/>
        <w:bCs/>
      </w:rPr>
      <w:tblPr/>
      <w:tcPr>
        <w:tcBorders>
          <w:top w:val="single" w:sz="18" w:space="0" w:color="86CADB" w:themeColor="accent1" w:themeTint="BF"/>
        </w:tcBorders>
      </w:tcPr>
    </w:tblStylePr>
    <w:tblStylePr w:type="firstCol">
      <w:rPr>
        <w:b/>
        <w:bCs/>
      </w:rPr>
    </w:tblStylePr>
    <w:tblStylePr w:type="lastCol">
      <w:rPr>
        <w:b/>
        <w:bCs/>
      </w:rPr>
    </w:tblStylePr>
    <w:tblStylePr w:type="band1Vert">
      <w:tblPr/>
      <w:tcPr>
        <w:shd w:val="clear" w:color="auto" w:fill="AEDCE7" w:themeFill="accent1" w:themeFillTint="7F"/>
      </w:tcPr>
    </w:tblStylePr>
    <w:tblStylePr w:type="band1Horz">
      <w:tblPr/>
      <w:tcPr>
        <w:shd w:val="clear" w:color="auto" w:fill="AEDCE7" w:themeFill="accent1" w:themeFillTint="7F"/>
      </w:tcPr>
    </w:tblStylePr>
  </w:style>
  <w:style w:type="table" w:styleId="MediumGrid1-Accent2">
    <w:name w:val="Medium Grid 1 Accent 2"/>
    <w:basedOn w:val="TableNormal"/>
    <w:uiPriority w:val="67"/>
    <w:rsid w:val="00B37BD3"/>
    <w:tblPr>
      <w:tblStyleRowBandSize w:val="1"/>
      <w:tblStyleColBandSize w:val="1"/>
      <w:tblBorders>
        <w:top w:val="single" w:sz="8" w:space="0" w:color="BDBDBD" w:themeColor="accent2" w:themeTint="BF"/>
        <w:left w:val="single" w:sz="8" w:space="0" w:color="BDBDBD" w:themeColor="accent2" w:themeTint="BF"/>
        <w:bottom w:val="single" w:sz="8" w:space="0" w:color="BDBDBD" w:themeColor="accent2" w:themeTint="BF"/>
        <w:right w:val="single" w:sz="8" w:space="0" w:color="BDBDBD" w:themeColor="accent2" w:themeTint="BF"/>
        <w:insideH w:val="single" w:sz="8" w:space="0" w:color="BDBDBD" w:themeColor="accent2" w:themeTint="BF"/>
        <w:insideV w:val="single" w:sz="8" w:space="0" w:color="BDBDBD" w:themeColor="accent2" w:themeTint="BF"/>
      </w:tblBorders>
    </w:tblPr>
    <w:tcPr>
      <w:shd w:val="clear" w:color="auto" w:fill="E9E9E9" w:themeFill="accent2" w:themeFillTint="3F"/>
    </w:tcPr>
    <w:tblStylePr w:type="firstRow">
      <w:rPr>
        <w:b/>
        <w:bCs/>
      </w:rPr>
    </w:tblStylePr>
    <w:tblStylePr w:type="lastRow">
      <w:rPr>
        <w:b/>
        <w:bCs/>
      </w:rPr>
      <w:tblPr/>
      <w:tcPr>
        <w:tcBorders>
          <w:top w:val="single" w:sz="18" w:space="0" w:color="BDBDBD" w:themeColor="accent2" w:themeTint="BF"/>
        </w:tcBorders>
      </w:tcPr>
    </w:tblStylePr>
    <w:tblStylePr w:type="firstCol">
      <w:rPr>
        <w:b/>
        <w:bCs/>
      </w:rPr>
    </w:tblStylePr>
    <w:tblStylePr w:type="lastCol">
      <w:rPr>
        <w:b/>
        <w:bCs/>
      </w:rPr>
    </w:tblStylePr>
    <w:tblStylePr w:type="band1Vert">
      <w:tblPr/>
      <w:tcPr>
        <w:shd w:val="clear" w:color="auto" w:fill="D3D3D3" w:themeFill="accent2" w:themeFillTint="7F"/>
      </w:tcPr>
    </w:tblStylePr>
    <w:tblStylePr w:type="band1Horz">
      <w:tblPr/>
      <w:tcPr>
        <w:shd w:val="clear" w:color="auto" w:fill="D3D3D3" w:themeFill="accent2" w:themeFillTint="7F"/>
      </w:tcPr>
    </w:tblStylePr>
  </w:style>
  <w:style w:type="table" w:styleId="MediumGrid1-Accent3">
    <w:name w:val="Medium Grid 1 Accent 3"/>
    <w:basedOn w:val="TableNormal"/>
    <w:uiPriority w:val="67"/>
    <w:rsid w:val="00B37BD3"/>
    <w:tblPr>
      <w:tblStyleRowBandSize w:val="1"/>
      <w:tblStyleColBandSize w:val="1"/>
      <w:tblBorders>
        <w:top w:val="single" w:sz="8" w:space="0" w:color="97C6B5" w:themeColor="accent3" w:themeTint="BF"/>
        <w:left w:val="single" w:sz="8" w:space="0" w:color="97C6B5" w:themeColor="accent3" w:themeTint="BF"/>
        <w:bottom w:val="single" w:sz="8" w:space="0" w:color="97C6B5" w:themeColor="accent3" w:themeTint="BF"/>
        <w:right w:val="single" w:sz="8" w:space="0" w:color="97C6B5" w:themeColor="accent3" w:themeTint="BF"/>
        <w:insideH w:val="single" w:sz="8" w:space="0" w:color="97C6B5" w:themeColor="accent3" w:themeTint="BF"/>
        <w:insideV w:val="single" w:sz="8" w:space="0" w:color="97C6B5" w:themeColor="accent3" w:themeTint="BF"/>
      </w:tblBorders>
    </w:tblPr>
    <w:tcPr>
      <w:shd w:val="clear" w:color="auto" w:fill="DCECE6" w:themeFill="accent3" w:themeFillTint="3F"/>
    </w:tcPr>
    <w:tblStylePr w:type="firstRow">
      <w:rPr>
        <w:b/>
        <w:bCs/>
      </w:rPr>
    </w:tblStylePr>
    <w:tblStylePr w:type="lastRow">
      <w:rPr>
        <w:b/>
        <w:bCs/>
      </w:rPr>
      <w:tblPr/>
      <w:tcPr>
        <w:tcBorders>
          <w:top w:val="single" w:sz="18" w:space="0" w:color="97C6B5" w:themeColor="accent3" w:themeTint="BF"/>
        </w:tcBorders>
      </w:tcPr>
    </w:tblStylePr>
    <w:tblStylePr w:type="firstCol">
      <w:rPr>
        <w:b/>
        <w:bCs/>
      </w:rPr>
    </w:tblStylePr>
    <w:tblStylePr w:type="lastCol">
      <w:rPr>
        <w:b/>
        <w:bCs/>
      </w:rPr>
    </w:tblStylePr>
    <w:tblStylePr w:type="band1Vert">
      <w:tblPr/>
      <w:tcPr>
        <w:shd w:val="clear" w:color="auto" w:fill="BAD9CE" w:themeFill="accent3" w:themeFillTint="7F"/>
      </w:tcPr>
    </w:tblStylePr>
    <w:tblStylePr w:type="band1Horz">
      <w:tblPr/>
      <w:tcPr>
        <w:shd w:val="clear" w:color="auto" w:fill="BAD9CE" w:themeFill="accent3" w:themeFillTint="7F"/>
      </w:tcPr>
    </w:tblStylePr>
  </w:style>
  <w:style w:type="table" w:styleId="MediumGrid1-Accent4">
    <w:name w:val="Medium Grid 1 Accent 4"/>
    <w:basedOn w:val="TableNormal"/>
    <w:uiPriority w:val="67"/>
    <w:rsid w:val="00B37BD3"/>
    <w:tblPr>
      <w:tblStyleRowBandSize w:val="1"/>
      <w:tblStyleColBandSize w:val="1"/>
      <w:tblBorders>
        <w:top w:val="single" w:sz="8" w:space="0" w:color="D12944" w:themeColor="accent4" w:themeTint="BF"/>
        <w:left w:val="single" w:sz="8" w:space="0" w:color="D12944" w:themeColor="accent4" w:themeTint="BF"/>
        <w:bottom w:val="single" w:sz="8" w:space="0" w:color="D12944" w:themeColor="accent4" w:themeTint="BF"/>
        <w:right w:val="single" w:sz="8" w:space="0" w:color="D12944" w:themeColor="accent4" w:themeTint="BF"/>
        <w:insideH w:val="single" w:sz="8" w:space="0" w:color="D12944" w:themeColor="accent4" w:themeTint="BF"/>
        <w:insideV w:val="single" w:sz="8" w:space="0" w:color="D12944" w:themeColor="accent4" w:themeTint="BF"/>
      </w:tblBorders>
    </w:tblPr>
    <w:tcPr>
      <w:shd w:val="clear" w:color="auto" w:fill="F1B7C0" w:themeFill="accent4" w:themeFillTint="3F"/>
    </w:tcPr>
    <w:tblStylePr w:type="firstRow">
      <w:rPr>
        <w:b/>
        <w:bCs/>
      </w:rPr>
    </w:tblStylePr>
    <w:tblStylePr w:type="lastRow">
      <w:rPr>
        <w:b/>
        <w:bCs/>
      </w:rPr>
      <w:tblPr/>
      <w:tcPr>
        <w:tcBorders>
          <w:top w:val="single" w:sz="18" w:space="0" w:color="D12944" w:themeColor="accent4" w:themeTint="BF"/>
        </w:tcBorders>
      </w:tcPr>
    </w:tblStylePr>
    <w:tblStylePr w:type="firstCol">
      <w:rPr>
        <w:b/>
        <w:bCs/>
      </w:rPr>
    </w:tblStylePr>
    <w:tblStylePr w:type="lastCol">
      <w:rPr>
        <w:b/>
        <w:bCs/>
      </w:rPr>
    </w:tblStylePr>
    <w:tblStylePr w:type="band1Vert">
      <w:tblPr/>
      <w:tcPr>
        <w:shd w:val="clear" w:color="auto" w:fill="E26F81" w:themeFill="accent4" w:themeFillTint="7F"/>
      </w:tcPr>
    </w:tblStylePr>
    <w:tblStylePr w:type="band1Horz">
      <w:tblPr/>
      <w:tcPr>
        <w:shd w:val="clear" w:color="auto" w:fill="E26F81" w:themeFill="accent4" w:themeFillTint="7F"/>
      </w:tcPr>
    </w:tblStylePr>
  </w:style>
  <w:style w:type="table" w:styleId="MediumGrid1-Accent5">
    <w:name w:val="Medium Grid 1 Accent 5"/>
    <w:basedOn w:val="TableNormal"/>
    <w:uiPriority w:val="67"/>
    <w:rsid w:val="00B37BD3"/>
    <w:tblPr>
      <w:tblStyleRowBandSize w:val="1"/>
      <w:tblStyleColBandSize w:val="1"/>
      <w:tblBorders>
        <w:top w:val="single" w:sz="8" w:space="0" w:color="9CA63D" w:themeColor="accent5" w:themeTint="BF"/>
        <w:left w:val="single" w:sz="8" w:space="0" w:color="9CA63D" w:themeColor="accent5" w:themeTint="BF"/>
        <w:bottom w:val="single" w:sz="8" w:space="0" w:color="9CA63D" w:themeColor="accent5" w:themeTint="BF"/>
        <w:right w:val="single" w:sz="8" w:space="0" w:color="9CA63D" w:themeColor="accent5" w:themeTint="BF"/>
        <w:insideH w:val="single" w:sz="8" w:space="0" w:color="9CA63D" w:themeColor="accent5" w:themeTint="BF"/>
        <w:insideV w:val="single" w:sz="8" w:space="0" w:color="9CA63D" w:themeColor="accent5" w:themeTint="BF"/>
      </w:tblBorders>
    </w:tblPr>
    <w:tcPr>
      <w:shd w:val="clear" w:color="auto" w:fill="E1E6BB" w:themeFill="accent5" w:themeFillTint="3F"/>
    </w:tcPr>
    <w:tblStylePr w:type="firstRow">
      <w:rPr>
        <w:b/>
        <w:bCs/>
      </w:rPr>
    </w:tblStylePr>
    <w:tblStylePr w:type="lastRow">
      <w:rPr>
        <w:b/>
        <w:bCs/>
      </w:rPr>
      <w:tblPr/>
      <w:tcPr>
        <w:tcBorders>
          <w:top w:val="single" w:sz="18" w:space="0" w:color="9CA63D" w:themeColor="accent5" w:themeTint="BF"/>
        </w:tcBorders>
      </w:tcPr>
    </w:tblStylePr>
    <w:tblStylePr w:type="firstCol">
      <w:rPr>
        <w:b/>
        <w:bCs/>
      </w:rPr>
    </w:tblStylePr>
    <w:tblStylePr w:type="lastCol">
      <w:rPr>
        <w:b/>
        <w:bCs/>
      </w:rPr>
    </w:tblStylePr>
    <w:tblStylePr w:type="band1Vert">
      <w:tblPr/>
      <w:tcPr>
        <w:shd w:val="clear" w:color="auto" w:fill="C4CC76" w:themeFill="accent5" w:themeFillTint="7F"/>
      </w:tcPr>
    </w:tblStylePr>
    <w:tblStylePr w:type="band1Horz">
      <w:tblPr/>
      <w:tcPr>
        <w:shd w:val="clear" w:color="auto" w:fill="C4CC76" w:themeFill="accent5" w:themeFillTint="7F"/>
      </w:tcPr>
    </w:tblStylePr>
  </w:style>
  <w:style w:type="table" w:styleId="MediumGrid1-Accent6">
    <w:name w:val="Medium Grid 1 Accent 6"/>
    <w:basedOn w:val="TableNormal"/>
    <w:uiPriority w:val="67"/>
    <w:rsid w:val="00B37BD3"/>
    <w:tblPr>
      <w:tblStyleRowBandSize w:val="1"/>
      <w:tblStyleColBandSize w:val="1"/>
      <w:tblBorders>
        <w:top w:val="single" w:sz="8" w:space="0" w:color="21C092" w:themeColor="accent6" w:themeTint="BF"/>
        <w:left w:val="single" w:sz="8" w:space="0" w:color="21C092" w:themeColor="accent6" w:themeTint="BF"/>
        <w:bottom w:val="single" w:sz="8" w:space="0" w:color="21C092" w:themeColor="accent6" w:themeTint="BF"/>
        <w:right w:val="single" w:sz="8" w:space="0" w:color="21C092" w:themeColor="accent6" w:themeTint="BF"/>
        <w:insideH w:val="single" w:sz="8" w:space="0" w:color="21C092" w:themeColor="accent6" w:themeTint="BF"/>
        <w:insideV w:val="single" w:sz="8" w:space="0" w:color="21C092" w:themeColor="accent6" w:themeTint="BF"/>
      </w:tblBorders>
    </w:tblPr>
    <w:tcPr>
      <w:shd w:val="clear" w:color="auto" w:fill="AEF1DE" w:themeFill="accent6" w:themeFillTint="3F"/>
    </w:tcPr>
    <w:tblStylePr w:type="firstRow">
      <w:rPr>
        <w:b/>
        <w:bCs/>
      </w:rPr>
    </w:tblStylePr>
    <w:tblStylePr w:type="lastRow">
      <w:rPr>
        <w:b/>
        <w:bCs/>
      </w:rPr>
      <w:tblPr/>
      <w:tcPr>
        <w:tcBorders>
          <w:top w:val="single" w:sz="18" w:space="0" w:color="21C092" w:themeColor="accent6" w:themeTint="BF"/>
        </w:tcBorders>
      </w:tcPr>
    </w:tblStylePr>
    <w:tblStylePr w:type="firstCol">
      <w:rPr>
        <w:b/>
        <w:bCs/>
      </w:rPr>
    </w:tblStylePr>
    <w:tblStylePr w:type="lastCol">
      <w:rPr>
        <w:b/>
        <w:bCs/>
      </w:rPr>
    </w:tblStylePr>
    <w:tblStylePr w:type="band1Vert">
      <w:tblPr/>
      <w:tcPr>
        <w:shd w:val="clear" w:color="auto" w:fill="5DE3BC" w:themeFill="accent6" w:themeFillTint="7F"/>
      </w:tcPr>
    </w:tblStylePr>
    <w:tblStylePr w:type="band1Horz">
      <w:tblPr/>
      <w:tcPr>
        <w:shd w:val="clear" w:color="auto" w:fill="5DE3BC" w:themeFill="accent6" w:themeFillTint="7F"/>
      </w:tcPr>
    </w:tblStylePr>
  </w:style>
  <w:style w:type="table" w:styleId="MediumGrid2">
    <w:name w:val="Medium Grid 2"/>
    <w:basedOn w:val="TableNormal"/>
    <w:uiPriority w:val="68"/>
    <w:rsid w:val="00B37B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37BD3"/>
    <w:rPr>
      <w:rFonts w:asciiTheme="majorHAnsi" w:eastAsiaTheme="majorEastAsia" w:hAnsiTheme="majorHAnsi" w:cstheme="majorBidi"/>
      <w:color w:val="000000" w:themeColor="text1"/>
    </w:rPr>
    <w:tblPr>
      <w:tblStyleRowBandSize w:val="1"/>
      <w:tblStyleColBandSize w:val="1"/>
      <w:tblBorders>
        <w:top w:val="single" w:sz="8" w:space="0" w:color="5EB9CF" w:themeColor="accent1"/>
        <w:left w:val="single" w:sz="8" w:space="0" w:color="5EB9CF" w:themeColor="accent1"/>
        <w:bottom w:val="single" w:sz="8" w:space="0" w:color="5EB9CF" w:themeColor="accent1"/>
        <w:right w:val="single" w:sz="8" w:space="0" w:color="5EB9CF" w:themeColor="accent1"/>
        <w:insideH w:val="single" w:sz="8" w:space="0" w:color="5EB9CF" w:themeColor="accent1"/>
        <w:insideV w:val="single" w:sz="8" w:space="0" w:color="5EB9CF" w:themeColor="accent1"/>
      </w:tblBorders>
    </w:tblPr>
    <w:tcPr>
      <w:shd w:val="clear" w:color="auto" w:fill="D7EDF3" w:themeFill="accent1" w:themeFillTint="3F"/>
    </w:tcPr>
    <w:tblStylePr w:type="firstRow">
      <w:rPr>
        <w:b/>
        <w:bCs/>
        <w:color w:val="000000" w:themeColor="text1"/>
      </w:rPr>
      <w:tblPr/>
      <w:tcPr>
        <w:shd w:val="clear" w:color="auto" w:fill="EFF8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0F5" w:themeFill="accent1" w:themeFillTint="33"/>
      </w:tcPr>
    </w:tblStylePr>
    <w:tblStylePr w:type="band1Vert">
      <w:tblPr/>
      <w:tcPr>
        <w:shd w:val="clear" w:color="auto" w:fill="AEDCE7" w:themeFill="accent1" w:themeFillTint="7F"/>
      </w:tcPr>
    </w:tblStylePr>
    <w:tblStylePr w:type="band1Horz">
      <w:tblPr/>
      <w:tcPr>
        <w:tcBorders>
          <w:insideH w:val="single" w:sz="6" w:space="0" w:color="5EB9CF" w:themeColor="accent1"/>
          <w:insideV w:val="single" w:sz="6" w:space="0" w:color="5EB9CF" w:themeColor="accent1"/>
        </w:tcBorders>
        <w:shd w:val="clear" w:color="auto" w:fill="AEDCE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37BD3"/>
    <w:rPr>
      <w:rFonts w:asciiTheme="majorHAnsi" w:eastAsiaTheme="majorEastAsia" w:hAnsiTheme="majorHAnsi" w:cstheme="majorBidi"/>
      <w:color w:val="000000" w:themeColor="text1"/>
    </w:rPr>
    <w:tblPr>
      <w:tblStyleRowBandSize w:val="1"/>
      <w:tblStyleColBandSize w:val="1"/>
      <w:tblBorders>
        <w:top w:val="single" w:sz="8" w:space="0" w:color="A8A8A8" w:themeColor="accent2"/>
        <w:left w:val="single" w:sz="8" w:space="0" w:color="A8A8A8" w:themeColor="accent2"/>
        <w:bottom w:val="single" w:sz="8" w:space="0" w:color="A8A8A8" w:themeColor="accent2"/>
        <w:right w:val="single" w:sz="8" w:space="0" w:color="A8A8A8" w:themeColor="accent2"/>
        <w:insideH w:val="single" w:sz="8" w:space="0" w:color="A8A8A8" w:themeColor="accent2"/>
        <w:insideV w:val="single" w:sz="8" w:space="0" w:color="A8A8A8" w:themeColor="accent2"/>
      </w:tblBorders>
    </w:tblPr>
    <w:tcPr>
      <w:shd w:val="clear" w:color="auto" w:fill="E9E9E9" w:themeFill="accent2" w:themeFillTint="3F"/>
    </w:tcPr>
    <w:tblStylePr w:type="firstRow">
      <w:rPr>
        <w:b/>
        <w:bCs/>
        <w:color w:val="000000" w:themeColor="text1"/>
      </w:rPr>
      <w:tblPr/>
      <w:tcPr>
        <w:shd w:val="clear" w:color="auto" w:fill="F6F6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2" w:themeFillTint="33"/>
      </w:tcPr>
    </w:tblStylePr>
    <w:tblStylePr w:type="band1Vert">
      <w:tblPr/>
      <w:tcPr>
        <w:shd w:val="clear" w:color="auto" w:fill="D3D3D3" w:themeFill="accent2" w:themeFillTint="7F"/>
      </w:tcPr>
    </w:tblStylePr>
    <w:tblStylePr w:type="band1Horz">
      <w:tblPr/>
      <w:tcPr>
        <w:tcBorders>
          <w:insideH w:val="single" w:sz="6" w:space="0" w:color="A8A8A8" w:themeColor="accent2"/>
          <w:insideV w:val="single" w:sz="6" w:space="0" w:color="A8A8A8" w:themeColor="accent2"/>
        </w:tcBorders>
        <w:shd w:val="clear" w:color="auto" w:fill="D3D3D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37BD3"/>
    <w:rPr>
      <w:rFonts w:asciiTheme="majorHAnsi" w:eastAsiaTheme="majorEastAsia" w:hAnsiTheme="majorHAnsi" w:cstheme="majorBidi"/>
      <w:color w:val="000000" w:themeColor="text1"/>
    </w:rPr>
    <w:tblPr>
      <w:tblStyleRowBandSize w:val="1"/>
      <w:tblStyleColBandSize w:val="1"/>
      <w:tblBorders>
        <w:top w:val="single" w:sz="8" w:space="0" w:color="75B39D" w:themeColor="accent3"/>
        <w:left w:val="single" w:sz="8" w:space="0" w:color="75B39D" w:themeColor="accent3"/>
        <w:bottom w:val="single" w:sz="8" w:space="0" w:color="75B39D" w:themeColor="accent3"/>
        <w:right w:val="single" w:sz="8" w:space="0" w:color="75B39D" w:themeColor="accent3"/>
        <w:insideH w:val="single" w:sz="8" w:space="0" w:color="75B39D" w:themeColor="accent3"/>
        <w:insideV w:val="single" w:sz="8" w:space="0" w:color="75B39D" w:themeColor="accent3"/>
      </w:tblBorders>
    </w:tblPr>
    <w:tcPr>
      <w:shd w:val="clear" w:color="auto" w:fill="DCECE6" w:themeFill="accent3" w:themeFillTint="3F"/>
    </w:tcPr>
    <w:tblStylePr w:type="firstRow">
      <w:rPr>
        <w:b/>
        <w:bCs/>
        <w:color w:val="000000" w:themeColor="text1"/>
      </w:rPr>
      <w:tblPr/>
      <w:tcPr>
        <w:shd w:val="clear" w:color="auto" w:fill="F1F7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FEB" w:themeFill="accent3" w:themeFillTint="33"/>
      </w:tcPr>
    </w:tblStylePr>
    <w:tblStylePr w:type="band1Vert">
      <w:tblPr/>
      <w:tcPr>
        <w:shd w:val="clear" w:color="auto" w:fill="BAD9CE" w:themeFill="accent3" w:themeFillTint="7F"/>
      </w:tcPr>
    </w:tblStylePr>
    <w:tblStylePr w:type="band1Horz">
      <w:tblPr/>
      <w:tcPr>
        <w:tcBorders>
          <w:insideH w:val="single" w:sz="6" w:space="0" w:color="75B39D" w:themeColor="accent3"/>
          <w:insideV w:val="single" w:sz="6" w:space="0" w:color="75B39D" w:themeColor="accent3"/>
        </w:tcBorders>
        <w:shd w:val="clear" w:color="auto" w:fill="BAD9C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37BD3"/>
    <w:rPr>
      <w:rFonts w:asciiTheme="majorHAnsi" w:eastAsiaTheme="majorEastAsia" w:hAnsiTheme="majorHAnsi" w:cstheme="majorBidi"/>
      <w:color w:val="000000" w:themeColor="text1"/>
    </w:rPr>
    <w:tblPr>
      <w:tblStyleRowBandSize w:val="1"/>
      <w:tblStyleColBandSize w:val="1"/>
      <w:tblBorders>
        <w:top w:val="single" w:sz="8" w:space="0" w:color="891B2D" w:themeColor="accent4"/>
        <w:left w:val="single" w:sz="8" w:space="0" w:color="891B2D" w:themeColor="accent4"/>
        <w:bottom w:val="single" w:sz="8" w:space="0" w:color="891B2D" w:themeColor="accent4"/>
        <w:right w:val="single" w:sz="8" w:space="0" w:color="891B2D" w:themeColor="accent4"/>
        <w:insideH w:val="single" w:sz="8" w:space="0" w:color="891B2D" w:themeColor="accent4"/>
        <w:insideV w:val="single" w:sz="8" w:space="0" w:color="891B2D" w:themeColor="accent4"/>
      </w:tblBorders>
    </w:tblPr>
    <w:tcPr>
      <w:shd w:val="clear" w:color="auto" w:fill="F1B7C0" w:themeFill="accent4" w:themeFillTint="3F"/>
    </w:tcPr>
    <w:tblStylePr w:type="firstRow">
      <w:rPr>
        <w:b/>
        <w:bCs/>
        <w:color w:val="000000" w:themeColor="text1"/>
      </w:rPr>
      <w:tblPr/>
      <w:tcPr>
        <w:shd w:val="clear" w:color="auto" w:fill="F9E2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C5CC" w:themeFill="accent4" w:themeFillTint="33"/>
      </w:tcPr>
    </w:tblStylePr>
    <w:tblStylePr w:type="band1Vert">
      <w:tblPr/>
      <w:tcPr>
        <w:shd w:val="clear" w:color="auto" w:fill="E26F81" w:themeFill="accent4" w:themeFillTint="7F"/>
      </w:tcPr>
    </w:tblStylePr>
    <w:tblStylePr w:type="band1Horz">
      <w:tblPr/>
      <w:tcPr>
        <w:tcBorders>
          <w:insideH w:val="single" w:sz="6" w:space="0" w:color="891B2D" w:themeColor="accent4"/>
          <w:insideV w:val="single" w:sz="6" w:space="0" w:color="891B2D" w:themeColor="accent4"/>
        </w:tcBorders>
        <w:shd w:val="clear" w:color="auto" w:fill="E26F8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37BD3"/>
    <w:rPr>
      <w:rFonts w:asciiTheme="majorHAnsi" w:eastAsiaTheme="majorEastAsia" w:hAnsiTheme="majorHAnsi" w:cstheme="majorBidi"/>
      <w:color w:val="000000" w:themeColor="text1"/>
    </w:rPr>
    <w:tblPr>
      <w:tblStyleRowBandSize w:val="1"/>
      <w:tblStyleColBandSize w:val="1"/>
      <w:tblBorders>
        <w:top w:val="single" w:sz="8" w:space="0" w:color="5C6224" w:themeColor="accent5"/>
        <w:left w:val="single" w:sz="8" w:space="0" w:color="5C6224" w:themeColor="accent5"/>
        <w:bottom w:val="single" w:sz="8" w:space="0" w:color="5C6224" w:themeColor="accent5"/>
        <w:right w:val="single" w:sz="8" w:space="0" w:color="5C6224" w:themeColor="accent5"/>
        <w:insideH w:val="single" w:sz="8" w:space="0" w:color="5C6224" w:themeColor="accent5"/>
        <w:insideV w:val="single" w:sz="8" w:space="0" w:color="5C6224" w:themeColor="accent5"/>
      </w:tblBorders>
    </w:tblPr>
    <w:tcPr>
      <w:shd w:val="clear" w:color="auto" w:fill="E1E6BB" w:themeFill="accent5" w:themeFillTint="3F"/>
    </w:tcPr>
    <w:tblStylePr w:type="firstRow">
      <w:rPr>
        <w:b/>
        <w:bCs/>
        <w:color w:val="000000" w:themeColor="text1"/>
      </w:rPr>
      <w:tblPr/>
      <w:tcPr>
        <w:shd w:val="clear" w:color="auto" w:fill="F3F5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AC7" w:themeFill="accent5" w:themeFillTint="33"/>
      </w:tcPr>
    </w:tblStylePr>
    <w:tblStylePr w:type="band1Vert">
      <w:tblPr/>
      <w:tcPr>
        <w:shd w:val="clear" w:color="auto" w:fill="C4CC76" w:themeFill="accent5" w:themeFillTint="7F"/>
      </w:tcPr>
    </w:tblStylePr>
    <w:tblStylePr w:type="band1Horz">
      <w:tblPr/>
      <w:tcPr>
        <w:tcBorders>
          <w:insideH w:val="single" w:sz="6" w:space="0" w:color="5C6224" w:themeColor="accent5"/>
          <w:insideV w:val="single" w:sz="6" w:space="0" w:color="5C6224" w:themeColor="accent5"/>
        </w:tcBorders>
        <w:shd w:val="clear" w:color="auto" w:fill="C4CC7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37BD3"/>
    <w:rPr>
      <w:rFonts w:asciiTheme="majorHAnsi" w:eastAsiaTheme="majorEastAsia" w:hAnsiTheme="majorHAnsi" w:cstheme="majorBidi"/>
      <w:color w:val="000000" w:themeColor="text1"/>
    </w:rPr>
    <w:tblPr>
      <w:tblStyleRowBandSize w:val="1"/>
      <w:tblStyleColBandSize w:val="1"/>
      <w:tblBorders>
        <w:top w:val="single" w:sz="8" w:space="0" w:color="136F55" w:themeColor="accent6"/>
        <w:left w:val="single" w:sz="8" w:space="0" w:color="136F55" w:themeColor="accent6"/>
        <w:bottom w:val="single" w:sz="8" w:space="0" w:color="136F55" w:themeColor="accent6"/>
        <w:right w:val="single" w:sz="8" w:space="0" w:color="136F55" w:themeColor="accent6"/>
        <w:insideH w:val="single" w:sz="8" w:space="0" w:color="136F55" w:themeColor="accent6"/>
        <w:insideV w:val="single" w:sz="8" w:space="0" w:color="136F55" w:themeColor="accent6"/>
      </w:tblBorders>
    </w:tblPr>
    <w:tcPr>
      <w:shd w:val="clear" w:color="auto" w:fill="AEF1DE" w:themeFill="accent6" w:themeFillTint="3F"/>
    </w:tcPr>
    <w:tblStylePr w:type="firstRow">
      <w:rPr>
        <w:b/>
        <w:bCs/>
        <w:color w:val="000000" w:themeColor="text1"/>
      </w:rPr>
      <w:tblPr/>
      <w:tcPr>
        <w:shd w:val="clear" w:color="auto" w:fill="DFF9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F4E4" w:themeFill="accent6" w:themeFillTint="33"/>
      </w:tcPr>
    </w:tblStylePr>
    <w:tblStylePr w:type="band1Vert">
      <w:tblPr/>
      <w:tcPr>
        <w:shd w:val="clear" w:color="auto" w:fill="5DE3BC" w:themeFill="accent6" w:themeFillTint="7F"/>
      </w:tcPr>
    </w:tblStylePr>
    <w:tblStylePr w:type="band1Horz">
      <w:tblPr/>
      <w:tcPr>
        <w:tcBorders>
          <w:insideH w:val="single" w:sz="6" w:space="0" w:color="136F55" w:themeColor="accent6"/>
          <w:insideV w:val="single" w:sz="6" w:space="0" w:color="136F55" w:themeColor="accent6"/>
        </w:tcBorders>
        <w:shd w:val="clear" w:color="auto" w:fill="5DE3B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37B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37B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D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B9C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B9C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B9C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B9C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DCE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DCE7" w:themeFill="accent1" w:themeFillTint="7F"/>
      </w:tcPr>
    </w:tblStylePr>
  </w:style>
  <w:style w:type="table" w:styleId="MediumGrid3-Accent2">
    <w:name w:val="Medium Grid 3 Accent 2"/>
    <w:basedOn w:val="TableNormal"/>
    <w:uiPriority w:val="69"/>
    <w:rsid w:val="00B37B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9E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8A8A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8A8A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8A8A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8A8A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D3D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D3D3" w:themeFill="accent2" w:themeFillTint="7F"/>
      </w:tcPr>
    </w:tblStylePr>
  </w:style>
  <w:style w:type="table" w:styleId="MediumGrid3-Accent3">
    <w:name w:val="Medium Grid 3 Accent 3"/>
    <w:basedOn w:val="TableNormal"/>
    <w:uiPriority w:val="69"/>
    <w:rsid w:val="00B37B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CE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39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39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39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39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9C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9CE" w:themeFill="accent3" w:themeFillTint="7F"/>
      </w:tcPr>
    </w:tblStylePr>
  </w:style>
  <w:style w:type="table" w:styleId="MediumGrid3-Accent4">
    <w:name w:val="Medium Grid 3 Accent 4"/>
    <w:basedOn w:val="TableNormal"/>
    <w:uiPriority w:val="69"/>
    <w:rsid w:val="00B37B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B7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1B2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1B2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1B2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1B2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6F8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6F81" w:themeFill="accent4" w:themeFillTint="7F"/>
      </w:tcPr>
    </w:tblStylePr>
  </w:style>
  <w:style w:type="table" w:styleId="MediumGrid3-Accent5">
    <w:name w:val="Medium Grid 3 Accent 5"/>
    <w:basedOn w:val="TableNormal"/>
    <w:uiPriority w:val="69"/>
    <w:rsid w:val="00B37B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6B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622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622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622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622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CC7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CC76" w:themeFill="accent5" w:themeFillTint="7F"/>
      </w:tcPr>
    </w:tblStylePr>
  </w:style>
  <w:style w:type="table" w:styleId="MediumGrid3-Accent6">
    <w:name w:val="Medium Grid 3 Accent 6"/>
    <w:basedOn w:val="TableNormal"/>
    <w:uiPriority w:val="69"/>
    <w:rsid w:val="00B37B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F1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36F5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36F5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36F5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36F5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E3B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E3BC" w:themeFill="accent6" w:themeFillTint="7F"/>
      </w:tcPr>
    </w:tblStylePr>
  </w:style>
  <w:style w:type="table" w:styleId="MediumList1">
    <w:name w:val="Medium List 1"/>
    <w:basedOn w:val="TableNormal"/>
    <w:uiPriority w:val="65"/>
    <w:rsid w:val="00B37B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1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37BD3"/>
    <w:rPr>
      <w:color w:val="000000" w:themeColor="text1"/>
    </w:rPr>
    <w:tblPr>
      <w:tblStyleRowBandSize w:val="1"/>
      <w:tblStyleColBandSize w:val="1"/>
      <w:tblBorders>
        <w:top w:val="single" w:sz="8" w:space="0" w:color="5EB9CF" w:themeColor="accent1"/>
        <w:bottom w:val="single" w:sz="8" w:space="0" w:color="5EB9CF" w:themeColor="accent1"/>
      </w:tblBorders>
    </w:tblPr>
    <w:tblStylePr w:type="firstRow">
      <w:rPr>
        <w:rFonts w:asciiTheme="majorHAnsi" w:eastAsiaTheme="majorEastAsia" w:hAnsiTheme="majorHAnsi" w:cstheme="majorBidi"/>
      </w:rPr>
      <w:tblPr/>
      <w:tcPr>
        <w:tcBorders>
          <w:top w:val="nil"/>
          <w:bottom w:val="single" w:sz="8" w:space="0" w:color="5EB9CF" w:themeColor="accent1"/>
        </w:tcBorders>
      </w:tcPr>
    </w:tblStylePr>
    <w:tblStylePr w:type="lastRow">
      <w:rPr>
        <w:b/>
        <w:bCs/>
        <w:color w:val="003145" w:themeColor="text2"/>
      </w:rPr>
      <w:tblPr/>
      <w:tcPr>
        <w:tcBorders>
          <w:top w:val="single" w:sz="8" w:space="0" w:color="5EB9CF" w:themeColor="accent1"/>
          <w:bottom w:val="single" w:sz="8" w:space="0" w:color="5EB9CF" w:themeColor="accent1"/>
        </w:tcBorders>
      </w:tcPr>
    </w:tblStylePr>
    <w:tblStylePr w:type="firstCol">
      <w:rPr>
        <w:b/>
        <w:bCs/>
      </w:rPr>
    </w:tblStylePr>
    <w:tblStylePr w:type="lastCol">
      <w:rPr>
        <w:b/>
        <w:bCs/>
      </w:rPr>
      <w:tblPr/>
      <w:tcPr>
        <w:tcBorders>
          <w:top w:val="single" w:sz="8" w:space="0" w:color="5EB9CF" w:themeColor="accent1"/>
          <w:bottom w:val="single" w:sz="8" w:space="0" w:color="5EB9CF" w:themeColor="accent1"/>
        </w:tcBorders>
      </w:tcPr>
    </w:tblStylePr>
    <w:tblStylePr w:type="band1Vert">
      <w:tblPr/>
      <w:tcPr>
        <w:shd w:val="clear" w:color="auto" w:fill="D7EDF3" w:themeFill="accent1" w:themeFillTint="3F"/>
      </w:tcPr>
    </w:tblStylePr>
    <w:tblStylePr w:type="band1Horz">
      <w:tblPr/>
      <w:tcPr>
        <w:shd w:val="clear" w:color="auto" w:fill="D7EDF3" w:themeFill="accent1" w:themeFillTint="3F"/>
      </w:tcPr>
    </w:tblStylePr>
  </w:style>
  <w:style w:type="table" w:styleId="MediumList1-Accent2">
    <w:name w:val="Medium List 1 Accent 2"/>
    <w:basedOn w:val="TableNormal"/>
    <w:uiPriority w:val="65"/>
    <w:rsid w:val="00B37BD3"/>
    <w:rPr>
      <w:color w:val="000000" w:themeColor="text1"/>
    </w:rPr>
    <w:tblPr>
      <w:tblStyleRowBandSize w:val="1"/>
      <w:tblStyleColBandSize w:val="1"/>
      <w:tblBorders>
        <w:top w:val="single" w:sz="8" w:space="0" w:color="A8A8A8" w:themeColor="accent2"/>
        <w:bottom w:val="single" w:sz="8" w:space="0" w:color="A8A8A8" w:themeColor="accent2"/>
      </w:tblBorders>
    </w:tblPr>
    <w:tblStylePr w:type="firstRow">
      <w:rPr>
        <w:rFonts w:asciiTheme="majorHAnsi" w:eastAsiaTheme="majorEastAsia" w:hAnsiTheme="majorHAnsi" w:cstheme="majorBidi"/>
      </w:rPr>
      <w:tblPr/>
      <w:tcPr>
        <w:tcBorders>
          <w:top w:val="nil"/>
          <w:bottom w:val="single" w:sz="8" w:space="0" w:color="A8A8A8" w:themeColor="accent2"/>
        </w:tcBorders>
      </w:tcPr>
    </w:tblStylePr>
    <w:tblStylePr w:type="lastRow">
      <w:rPr>
        <w:b/>
        <w:bCs/>
        <w:color w:val="003145" w:themeColor="text2"/>
      </w:rPr>
      <w:tblPr/>
      <w:tcPr>
        <w:tcBorders>
          <w:top w:val="single" w:sz="8" w:space="0" w:color="A8A8A8" w:themeColor="accent2"/>
          <w:bottom w:val="single" w:sz="8" w:space="0" w:color="A8A8A8" w:themeColor="accent2"/>
        </w:tcBorders>
      </w:tcPr>
    </w:tblStylePr>
    <w:tblStylePr w:type="firstCol">
      <w:rPr>
        <w:b/>
        <w:bCs/>
      </w:rPr>
    </w:tblStylePr>
    <w:tblStylePr w:type="lastCol">
      <w:rPr>
        <w:b/>
        <w:bCs/>
      </w:rPr>
      <w:tblPr/>
      <w:tcPr>
        <w:tcBorders>
          <w:top w:val="single" w:sz="8" w:space="0" w:color="A8A8A8" w:themeColor="accent2"/>
          <w:bottom w:val="single" w:sz="8" w:space="0" w:color="A8A8A8" w:themeColor="accent2"/>
        </w:tcBorders>
      </w:tcPr>
    </w:tblStylePr>
    <w:tblStylePr w:type="band1Vert">
      <w:tblPr/>
      <w:tcPr>
        <w:shd w:val="clear" w:color="auto" w:fill="E9E9E9" w:themeFill="accent2" w:themeFillTint="3F"/>
      </w:tcPr>
    </w:tblStylePr>
    <w:tblStylePr w:type="band1Horz">
      <w:tblPr/>
      <w:tcPr>
        <w:shd w:val="clear" w:color="auto" w:fill="E9E9E9" w:themeFill="accent2" w:themeFillTint="3F"/>
      </w:tcPr>
    </w:tblStylePr>
  </w:style>
  <w:style w:type="table" w:styleId="MediumList1-Accent3">
    <w:name w:val="Medium List 1 Accent 3"/>
    <w:basedOn w:val="TableNormal"/>
    <w:uiPriority w:val="65"/>
    <w:rsid w:val="00B37BD3"/>
    <w:rPr>
      <w:color w:val="000000" w:themeColor="text1"/>
    </w:rPr>
    <w:tblPr>
      <w:tblStyleRowBandSize w:val="1"/>
      <w:tblStyleColBandSize w:val="1"/>
      <w:tblBorders>
        <w:top w:val="single" w:sz="8" w:space="0" w:color="75B39D" w:themeColor="accent3"/>
        <w:bottom w:val="single" w:sz="8" w:space="0" w:color="75B39D" w:themeColor="accent3"/>
      </w:tblBorders>
    </w:tblPr>
    <w:tblStylePr w:type="firstRow">
      <w:rPr>
        <w:rFonts w:asciiTheme="majorHAnsi" w:eastAsiaTheme="majorEastAsia" w:hAnsiTheme="majorHAnsi" w:cstheme="majorBidi"/>
      </w:rPr>
      <w:tblPr/>
      <w:tcPr>
        <w:tcBorders>
          <w:top w:val="nil"/>
          <w:bottom w:val="single" w:sz="8" w:space="0" w:color="75B39D" w:themeColor="accent3"/>
        </w:tcBorders>
      </w:tcPr>
    </w:tblStylePr>
    <w:tblStylePr w:type="lastRow">
      <w:rPr>
        <w:b/>
        <w:bCs/>
        <w:color w:val="003145" w:themeColor="text2"/>
      </w:rPr>
      <w:tblPr/>
      <w:tcPr>
        <w:tcBorders>
          <w:top w:val="single" w:sz="8" w:space="0" w:color="75B39D" w:themeColor="accent3"/>
          <w:bottom w:val="single" w:sz="8" w:space="0" w:color="75B39D" w:themeColor="accent3"/>
        </w:tcBorders>
      </w:tcPr>
    </w:tblStylePr>
    <w:tblStylePr w:type="firstCol">
      <w:rPr>
        <w:b/>
        <w:bCs/>
      </w:rPr>
    </w:tblStylePr>
    <w:tblStylePr w:type="lastCol">
      <w:rPr>
        <w:b/>
        <w:bCs/>
      </w:rPr>
      <w:tblPr/>
      <w:tcPr>
        <w:tcBorders>
          <w:top w:val="single" w:sz="8" w:space="0" w:color="75B39D" w:themeColor="accent3"/>
          <w:bottom w:val="single" w:sz="8" w:space="0" w:color="75B39D" w:themeColor="accent3"/>
        </w:tcBorders>
      </w:tcPr>
    </w:tblStylePr>
    <w:tblStylePr w:type="band1Vert">
      <w:tblPr/>
      <w:tcPr>
        <w:shd w:val="clear" w:color="auto" w:fill="DCECE6" w:themeFill="accent3" w:themeFillTint="3F"/>
      </w:tcPr>
    </w:tblStylePr>
    <w:tblStylePr w:type="band1Horz">
      <w:tblPr/>
      <w:tcPr>
        <w:shd w:val="clear" w:color="auto" w:fill="DCECE6" w:themeFill="accent3" w:themeFillTint="3F"/>
      </w:tcPr>
    </w:tblStylePr>
  </w:style>
  <w:style w:type="table" w:styleId="MediumList1-Accent4">
    <w:name w:val="Medium List 1 Accent 4"/>
    <w:basedOn w:val="TableNormal"/>
    <w:uiPriority w:val="65"/>
    <w:rsid w:val="00B37BD3"/>
    <w:rPr>
      <w:color w:val="000000" w:themeColor="text1"/>
    </w:rPr>
    <w:tblPr>
      <w:tblStyleRowBandSize w:val="1"/>
      <w:tblStyleColBandSize w:val="1"/>
      <w:tblBorders>
        <w:top w:val="single" w:sz="8" w:space="0" w:color="891B2D" w:themeColor="accent4"/>
        <w:bottom w:val="single" w:sz="8" w:space="0" w:color="891B2D" w:themeColor="accent4"/>
      </w:tblBorders>
    </w:tblPr>
    <w:tblStylePr w:type="firstRow">
      <w:rPr>
        <w:rFonts w:asciiTheme="majorHAnsi" w:eastAsiaTheme="majorEastAsia" w:hAnsiTheme="majorHAnsi" w:cstheme="majorBidi"/>
      </w:rPr>
      <w:tblPr/>
      <w:tcPr>
        <w:tcBorders>
          <w:top w:val="nil"/>
          <w:bottom w:val="single" w:sz="8" w:space="0" w:color="891B2D" w:themeColor="accent4"/>
        </w:tcBorders>
      </w:tcPr>
    </w:tblStylePr>
    <w:tblStylePr w:type="lastRow">
      <w:rPr>
        <w:b/>
        <w:bCs/>
        <w:color w:val="003145" w:themeColor="text2"/>
      </w:rPr>
      <w:tblPr/>
      <w:tcPr>
        <w:tcBorders>
          <w:top w:val="single" w:sz="8" w:space="0" w:color="891B2D" w:themeColor="accent4"/>
          <w:bottom w:val="single" w:sz="8" w:space="0" w:color="891B2D" w:themeColor="accent4"/>
        </w:tcBorders>
      </w:tcPr>
    </w:tblStylePr>
    <w:tblStylePr w:type="firstCol">
      <w:rPr>
        <w:b/>
        <w:bCs/>
      </w:rPr>
    </w:tblStylePr>
    <w:tblStylePr w:type="lastCol">
      <w:rPr>
        <w:b/>
        <w:bCs/>
      </w:rPr>
      <w:tblPr/>
      <w:tcPr>
        <w:tcBorders>
          <w:top w:val="single" w:sz="8" w:space="0" w:color="891B2D" w:themeColor="accent4"/>
          <w:bottom w:val="single" w:sz="8" w:space="0" w:color="891B2D" w:themeColor="accent4"/>
        </w:tcBorders>
      </w:tcPr>
    </w:tblStylePr>
    <w:tblStylePr w:type="band1Vert">
      <w:tblPr/>
      <w:tcPr>
        <w:shd w:val="clear" w:color="auto" w:fill="F1B7C0" w:themeFill="accent4" w:themeFillTint="3F"/>
      </w:tcPr>
    </w:tblStylePr>
    <w:tblStylePr w:type="band1Horz">
      <w:tblPr/>
      <w:tcPr>
        <w:shd w:val="clear" w:color="auto" w:fill="F1B7C0" w:themeFill="accent4" w:themeFillTint="3F"/>
      </w:tcPr>
    </w:tblStylePr>
  </w:style>
  <w:style w:type="table" w:styleId="MediumList1-Accent5">
    <w:name w:val="Medium List 1 Accent 5"/>
    <w:basedOn w:val="TableNormal"/>
    <w:uiPriority w:val="65"/>
    <w:rsid w:val="00B37BD3"/>
    <w:rPr>
      <w:color w:val="000000" w:themeColor="text1"/>
    </w:rPr>
    <w:tblPr>
      <w:tblStyleRowBandSize w:val="1"/>
      <w:tblStyleColBandSize w:val="1"/>
      <w:tblBorders>
        <w:top w:val="single" w:sz="8" w:space="0" w:color="5C6224" w:themeColor="accent5"/>
        <w:bottom w:val="single" w:sz="8" w:space="0" w:color="5C6224" w:themeColor="accent5"/>
      </w:tblBorders>
    </w:tblPr>
    <w:tblStylePr w:type="firstRow">
      <w:rPr>
        <w:rFonts w:asciiTheme="majorHAnsi" w:eastAsiaTheme="majorEastAsia" w:hAnsiTheme="majorHAnsi" w:cstheme="majorBidi"/>
      </w:rPr>
      <w:tblPr/>
      <w:tcPr>
        <w:tcBorders>
          <w:top w:val="nil"/>
          <w:bottom w:val="single" w:sz="8" w:space="0" w:color="5C6224" w:themeColor="accent5"/>
        </w:tcBorders>
      </w:tcPr>
    </w:tblStylePr>
    <w:tblStylePr w:type="lastRow">
      <w:rPr>
        <w:b/>
        <w:bCs/>
        <w:color w:val="003145" w:themeColor="text2"/>
      </w:rPr>
      <w:tblPr/>
      <w:tcPr>
        <w:tcBorders>
          <w:top w:val="single" w:sz="8" w:space="0" w:color="5C6224" w:themeColor="accent5"/>
          <w:bottom w:val="single" w:sz="8" w:space="0" w:color="5C6224" w:themeColor="accent5"/>
        </w:tcBorders>
      </w:tcPr>
    </w:tblStylePr>
    <w:tblStylePr w:type="firstCol">
      <w:rPr>
        <w:b/>
        <w:bCs/>
      </w:rPr>
    </w:tblStylePr>
    <w:tblStylePr w:type="lastCol">
      <w:rPr>
        <w:b/>
        <w:bCs/>
      </w:rPr>
      <w:tblPr/>
      <w:tcPr>
        <w:tcBorders>
          <w:top w:val="single" w:sz="8" w:space="0" w:color="5C6224" w:themeColor="accent5"/>
          <w:bottom w:val="single" w:sz="8" w:space="0" w:color="5C6224" w:themeColor="accent5"/>
        </w:tcBorders>
      </w:tcPr>
    </w:tblStylePr>
    <w:tblStylePr w:type="band1Vert">
      <w:tblPr/>
      <w:tcPr>
        <w:shd w:val="clear" w:color="auto" w:fill="E1E6BB" w:themeFill="accent5" w:themeFillTint="3F"/>
      </w:tcPr>
    </w:tblStylePr>
    <w:tblStylePr w:type="band1Horz">
      <w:tblPr/>
      <w:tcPr>
        <w:shd w:val="clear" w:color="auto" w:fill="E1E6BB" w:themeFill="accent5" w:themeFillTint="3F"/>
      </w:tcPr>
    </w:tblStylePr>
  </w:style>
  <w:style w:type="table" w:styleId="MediumList1-Accent6">
    <w:name w:val="Medium List 1 Accent 6"/>
    <w:basedOn w:val="TableNormal"/>
    <w:uiPriority w:val="65"/>
    <w:rsid w:val="00B37BD3"/>
    <w:rPr>
      <w:color w:val="000000" w:themeColor="text1"/>
    </w:rPr>
    <w:tblPr>
      <w:tblStyleRowBandSize w:val="1"/>
      <w:tblStyleColBandSize w:val="1"/>
      <w:tblBorders>
        <w:top w:val="single" w:sz="8" w:space="0" w:color="136F55" w:themeColor="accent6"/>
        <w:bottom w:val="single" w:sz="8" w:space="0" w:color="136F55" w:themeColor="accent6"/>
      </w:tblBorders>
    </w:tblPr>
    <w:tblStylePr w:type="firstRow">
      <w:rPr>
        <w:rFonts w:asciiTheme="majorHAnsi" w:eastAsiaTheme="majorEastAsia" w:hAnsiTheme="majorHAnsi" w:cstheme="majorBidi"/>
      </w:rPr>
      <w:tblPr/>
      <w:tcPr>
        <w:tcBorders>
          <w:top w:val="nil"/>
          <w:bottom w:val="single" w:sz="8" w:space="0" w:color="136F55" w:themeColor="accent6"/>
        </w:tcBorders>
      </w:tcPr>
    </w:tblStylePr>
    <w:tblStylePr w:type="lastRow">
      <w:rPr>
        <w:b/>
        <w:bCs/>
        <w:color w:val="003145" w:themeColor="text2"/>
      </w:rPr>
      <w:tblPr/>
      <w:tcPr>
        <w:tcBorders>
          <w:top w:val="single" w:sz="8" w:space="0" w:color="136F55" w:themeColor="accent6"/>
          <w:bottom w:val="single" w:sz="8" w:space="0" w:color="136F55" w:themeColor="accent6"/>
        </w:tcBorders>
      </w:tcPr>
    </w:tblStylePr>
    <w:tblStylePr w:type="firstCol">
      <w:rPr>
        <w:b/>
        <w:bCs/>
      </w:rPr>
    </w:tblStylePr>
    <w:tblStylePr w:type="lastCol">
      <w:rPr>
        <w:b/>
        <w:bCs/>
      </w:rPr>
      <w:tblPr/>
      <w:tcPr>
        <w:tcBorders>
          <w:top w:val="single" w:sz="8" w:space="0" w:color="136F55" w:themeColor="accent6"/>
          <w:bottom w:val="single" w:sz="8" w:space="0" w:color="136F55" w:themeColor="accent6"/>
        </w:tcBorders>
      </w:tcPr>
    </w:tblStylePr>
    <w:tblStylePr w:type="band1Vert">
      <w:tblPr/>
      <w:tcPr>
        <w:shd w:val="clear" w:color="auto" w:fill="AEF1DE" w:themeFill="accent6" w:themeFillTint="3F"/>
      </w:tcPr>
    </w:tblStylePr>
    <w:tblStylePr w:type="band1Horz">
      <w:tblPr/>
      <w:tcPr>
        <w:shd w:val="clear" w:color="auto" w:fill="AEF1DE" w:themeFill="accent6" w:themeFillTint="3F"/>
      </w:tcPr>
    </w:tblStylePr>
  </w:style>
  <w:style w:type="table" w:styleId="MediumList2">
    <w:name w:val="Medium List 2"/>
    <w:basedOn w:val="TableNormal"/>
    <w:uiPriority w:val="66"/>
    <w:rsid w:val="00B37B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37BD3"/>
    <w:rPr>
      <w:rFonts w:asciiTheme="majorHAnsi" w:eastAsiaTheme="majorEastAsia" w:hAnsiTheme="majorHAnsi" w:cstheme="majorBidi"/>
      <w:color w:val="000000" w:themeColor="text1"/>
    </w:rPr>
    <w:tblPr>
      <w:tblStyleRowBandSize w:val="1"/>
      <w:tblStyleColBandSize w:val="1"/>
      <w:tblBorders>
        <w:top w:val="single" w:sz="8" w:space="0" w:color="5EB9CF" w:themeColor="accent1"/>
        <w:left w:val="single" w:sz="8" w:space="0" w:color="5EB9CF" w:themeColor="accent1"/>
        <w:bottom w:val="single" w:sz="8" w:space="0" w:color="5EB9CF" w:themeColor="accent1"/>
        <w:right w:val="single" w:sz="8" w:space="0" w:color="5EB9CF" w:themeColor="accent1"/>
      </w:tblBorders>
    </w:tblPr>
    <w:tblStylePr w:type="firstRow">
      <w:rPr>
        <w:sz w:val="24"/>
        <w:szCs w:val="24"/>
      </w:rPr>
      <w:tblPr/>
      <w:tcPr>
        <w:tcBorders>
          <w:top w:val="nil"/>
          <w:left w:val="nil"/>
          <w:bottom w:val="single" w:sz="24" w:space="0" w:color="5EB9CF" w:themeColor="accent1"/>
          <w:right w:val="nil"/>
          <w:insideH w:val="nil"/>
          <w:insideV w:val="nil"/>
        </w:tcBorders>
        <w:shd w:val="clear" w:color="auto" w:fill="FFFFFF" w:themeFill="background1"/>
      </w:tcPr>
    </w:tblStylePr>
    <w:tblStylePr w:type="lastRow">
      <w:tblPr/>
      <w:tcPr>
        <w:tcBorders>
          <w:top w:val="single" w:sz="8" w:space="0" w:color="5EB9C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B9CF" w:themeColor="accent1"/>
          <w:insideH w:val="nil"/>
          <w:insideV w:val="nil"/>
        </w:tcBorders>
        <w:shd w:val="clear" w:color="auto" w:fill="FFFFFF" w:themeFill="background1"/>
      </w:tcPr>
    </w:tblStylePr>
    <w:tblStylePr w:type="lastCol">
      <w:tblPr/>
      <w:tcPr>
        <w:tcBorders>
          <w:top w:val="nil"/>
          <w:left w:val="single" w:sz="8" w:space="0" w:color="5EB9C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DF3" w:themeFill="accent1" w:themeFillTint="3F"/>
      </w:tcPr>
    </w:tblStylePr>
    <w:tblStylePr w:type="band1Horz">
      <w:tblPr/>
      <w:tcPr>
        <w:tcBorders>
          <w:top w:val="nil"/>
          <w:bottom w:val="nil"/>
          <w:insideH w:val="nil"/>
          <w:insideV w:val="nil"/>
        </w:tcBorders>
        <w:shd w:val="clear" w:color="auto" w:fill="D7ED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37BD3"/>
    <w:rPr>
      <w:rFonts w:asciiTheme="majorHAnsi" w:eastAsiaTheme="majorEastAsia" w:hAnsiTheme="majorHAnsi" w:cstheme="majorBidi"/>
      <w:color w:val="000000" w:themeColor="text1"/>
    </w:rPr>
    <w:tblPr>
      <w:tblStyleRowBandSize w:val="1"/>
      <w:tblStyleColBandSize w:val="1"/>
      <w:tblBorders>
        <w:top w:val="single" w:sz="8" w:space="0" w:color="A8A8A8" w:themeColor="accent2"/>
        <w:left w:val="single" w:sz="8" w:space="0" w:color="A8A8A8" w:themeColor="accent2"/>
        <w:bottom w:val="single" w:sz="8" w:space="0" w:color="A8A8A8" w:themeColor="accent2"/>
        <w:right w:val="single" w:sz="8" w:space="0" w:color="A8A8A8" w:themeColor="accent2"/>
      </w:tblBorders>
    </w:tblPr>
    <w:tblStylePr w:type="firstRow">
      <w:rPr>
        <w:sz w:val="24"/>
        <w:szCs w:val="24"/>
      </w:rPr>
      <w:tblPr/>
      <w:tcPr>
        <w:tcBorders>
          <w:top w:val="nil"/>
          <w:left w:val="nil"/>
          <w:bottom w:val="single" w:sz="24" w:space="0" w:color="A8A8A8" w:themeColor="accent2"/>
          <w:right w:val="nil"/>
          <w:insideH w:val="nil"/>
          <w:insideV w:val="nil"/>
        </w:tcBorders>
        <w:shd w:val="clear" w:color="auto" w:fill="FFFFFF" w:themeFill="background1"/>
      </w:tcPr>
    </w:tblStylePr>
    <w:tblStylePr w:type="lastRow">
      <w:tblPr/>
      <w:tcPr>
        <w:tcBorders>
          <w:top w:val="single" w:sz="8" w:space="0" w:color="A8A8A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8A8A8" w:themeColor="accent2"/>
          <w:insideH w:val="nil"/>
          <w:insideV w:val="nil"/>
        </w:tcBorders>
        <w:shd w:val="clear" w:color="auto" w:fill="FFFFFF" w:themeFill="background1"/>
      </w:tcPr>
    </w:tblStylePr>
    <w:tblStylePr w:type="lastCol">
      <w:tblPr/>
      <w:tcPr>
        <w:tcBorders>
          <w:top w:val="nil"/>
          <w:left w:val="single" w:sz="8" w:space="0" w:color="A8A8A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9E9" w:themeFill="accent2" w:themeFillTint="3F"/>
      </w:tcPr>
    </w:tblStylePr>
    <w:tblStylePr w:type="band1Horz">
      <w:tblPr/>
      <w:tcPr>
        <w:tcBorders>
          <w:top w:val="nil"/>
          <w:bottom w:val="nil"/>
          <w:insideH w:val="nil"/>
          <w:insideV w:val="nil"/>
        </w:tcBorders>
        <w:shd w:val="clear" w:color="auto" w:fill="E9E9E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37BD3"/>
    <w:rPr>
      <w:rFonts w:asciiTheme="majorHAnsi" w:eastAsiaTheme="majorEastAsia" w:hAnsiTheme="majorHAnsi" w:cstheme="majorBidi"/>
      <w:color w:val="000000" w:themeColor="text1"/>
    </w:rPr>
    <w:tblPr>
      <w:tblStyleRowBandSize w:val="1"/>
      <w:tblStyleColBandSize w:val="1"/>
      <w:tblBorders>
        <w:top w:val="single" w:sz="8" w:space="0" w:color="75B39D" w:themeColor="accent3"/>
        <w:left w:val="single" w:sz="8" w:space="0" w:color="75B39D" w:themeColor="accent3"/>
        <w:bottom w:val="single" w:sz="8" w:space="0" w:color="75B39D" w:themeColor="accent3"/>
        <w:right w:val="single" w:sz="8" w:space="0" w:color="75B39D" w:themeColor="accent3"/>
      </w:tblBorders>
    </w:tblPr>
    <w:tblStylePr w:type="firstRow">
      <w:rPr>
        <w:sz w:val="24"/>
        <w:szCs w:val="24"/>
      </w:rPr>
      <w:tblPr/>
      <w:tcPr>
        <w:tcBorders>
          <w:top w:val="nil"/>
          <w:left w:val="nil"/>
          <w:bottom w:val="single" w:sz="24" w:space="0" w:color="75B39D" w:themeColor="accent3"/>
          <w:right w:val="nil"/>
          <w:insideH w:val="nil"/>
          <w:insideV w:val="nil"/>
        </w:tcBorders>
        <w:shd w:val="clear" w:color="auto" w:fill="FFFFFF" w:themeFill="background1"/>
      </w:tcPr>
    </w:tblStylePr>
    <w:tblStylePr w:type="lastRow">
      <w:tblPr/>
      <w:tcPr>
        <w:tcBorders>
          <w:top w:val="single" w:sz="8" w:space="0" w:color="75B39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39D" w:themeColor="accent3"/>
          <w:insideH w:val="nil"/>
          <w:insideV w:val="nil"/>
        </w:tcBorders>
        <w:shd w:val="clear" w:color="auto" w:fill="FFFFFF" w:themeFill="background1"/>
      </w:tcPr>
    </w:tblStylePr>
    <w:tblStylePr w:type="lastCol">
      <w:tblPr/>
      <w:tcPr>
        <w:tcBorders>
          <w:top w:val="nil"/>
          <w:left w:val="single" w:sz="8" w:space="0" w:color="75B39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CE6" w:themeFill="accent3" w:themeFillTint="3F"/>
      </w:tcPr>
    </w:tblStylePr>
    <w:tblStylePr w:type="band1Horz">
      <w:tblPr/>
      <w:tcPr>
        <w:tcBorders>
          <w:top w:val="nil"/>
          <w:bottom w:val="nil"/>
          <w:insideH w:val="nil"/>
          <w:insideV w:val="nil"/>
        </w:tcBorders>
        <w:shd w:val="clear" w:color="auto" w:fill="DCECE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37BD3"/>
    <w:rPr>
      <w:rFonts w:asciiTheme="majorHAnsi" w:eastAsiaTheme="majorEastAsia" w:hAnsiTheme="majorHAnsi" w:cstheme="majorBidi"/>
      <w:color w:val="000000" w:themeColor="text1"/>
    </w:rPr>
    <w:tblPr>
      <w:tblStyleRowBandSize w:val="1"/>
      <w:tblStyleColBandSize w:val="1"/>
      <w:tblBorders>
        <w:top w:val="single" w:sz="8" w:space="0" w:color="891B2D" w:themeColor="accent4"/>
        <w:left w:val="single" w:sz="8" w:space="0" w:color="891B2D" w:themeColor="accent4"/>
        <w:bottom w:val="single" w:sz="8" w:space="0" w:color="891B2D" w:themeColor="accent4"/>
        <w:right w:val="single" w:sz="8" w:space="0" w:color="891B2D" w:themeColor="accent4"/>
      </w:tblBorders>
    </w:tblPr>
    <w:tblStylePr w:type="firstRow">
      <w:rPr>
        <w:sz w:val="24"/>
        <w:szCs w:val="24"/>
      </w:rPr>
      <w:tblPr/>
      <w:tcPr>
        <w:tcBorders>
          <w:top w:val="nil"/>
          <w:left w:val="nil"/>
          <w:bottom w:val="single" w:sz="24" w:space="0" w:color="891B2D" w:themeColor="accent4"/>
          <w:right w:val="nil"/>
          <w:insideH w:val="nil"/>
          <w:insideV w:val="nil"/>
        </w:tcBorders>
        <w:shd w:val="clear" w:color="auto" w:fill="FFFFFF" w:themeFill="background1"/>
      </w:tcPr>
    </w:tblStylePr>
    <w:tblStylePr w:type="lastRow">
      <w:tblPr/>
      <w:tcPr>
        <w:tcBorders>
          <w:top w:val="single" w:sz="8" w:space="0" w:color="891B2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91B2D" w:themeColor="accent4"/>
          <w:insideH w:val="nil"/>
          <w:insideV w:val="nil"/>
        </w:tcBorders>
        <w:shd w:val="clear" w:color="auto" w:fill="FFFFFF" w:themeFill="background1"/>
      </w:tcPr>
    </w:tblStylePr>
    <w:tblStylePr w:type="lastCol">
      <w:tblPr/>
      <w:tcPr>
        <w:tcBorders>
          <w:top w:val="nil"/>
          <w:left w:val="single" w:sz="8" w:space="0" w:color="891B2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B7C0" w:themeFill="accent4" w:themeFillTint="3F"/>
      </w:tcPr>
    </w:tblStylePr>
    <w:tblStylePr w:type="band1Horz">
      <w:tblPr/>
      <w:tcPr>
        <w:tcBorders>
          <w:top w:val="nil"/>
          <w:bottom w:val="nil"/>
          <w:insideH w:val="nil"/>
          <w:insideV w:val="nil"/>
        </w:tcBorders>
        <w:shd w:val="clear" w:color="auto" w:fill="F1B7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37BD3"/>
    <w:rPr>
      <w:rFonts w:asciiTheme="majorHAnsi" w:eastAsiaTheme="majorEastAsia" w:hAnsiTheme="majorHAnsi" w:cstheme="majorBidi"/>
      <w:color w:val="000000" w:themeColor="text1"/>
    </w:rPr>
    <w:tblPr>
      <w:tblStyleRowBandSize w:val="1"/>
      <w:tblStyleColBandSize w:val="1"/>
      <w:tblBorders>
        <w:top w:val="single" w:sz="8" w:space="0" w:color="5C6224" w:themeColor="accent5"/>
        <w:left w:val="single" w:sz="8" w:space="0" w:color="5C6224" w:themeColor="accent5"/>
        <w:bottom w:val="single" w:sz="8" w:space="0" w:color="5C6224" w:themeColor="accent5"/>
        <w:right w:val="single" w:sz="8" w:space="0" w:color="5C6224" w:themeColor="accent5"/>
      </w:tblBorders>
    </w:tblPr>
    <w:tblStylePr w:type="firstRow">
      <w:rPr>
        <w:sz w:val="24"/>
        <w:szCs w:val="24"/>
      </w:rPr>
      <w:tblPr/>
      <w:tcPr>
        <w:tcBorders>
          <w:top w:val="nil"/>
          <w:left w:val="nil"/>
          <w:bottom w:val="single" w:sz="24" w:space="0" w:color="5C6224" w:themeColor="accent5"/>
          <w:right w:val="nil"/>
          <w:insideH w:val="nil"/>
          <w:insideV w:val="nil"/>
        </w:tcBorders>
        <w:shd w:val="clear" w:color="auto" w:fill="FFFFFF" w:themeFill="background1"/>
      </w:tcPr>
    </w:tblStylePr>
    <w:tblStylePr w:type="lastRow">
      <w:tblPr/>
      <w:tcPr>
        <w:tcBorders>
          <w:top w:val="single" w:sz="8" w:space="0" w:color="5C622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6224" w:themeColor="accent5"/>
          <w:insideH w:val="nil"/>
          <w:insideV w:val="nil"/>
        </w:tcBorders>
        <w:shd w:val="clear" w:color="auto" w:fill="FFFFFF" w:themeFill="background1"/>
      </w:tcPr>
    </w:tblStylePr>
    <w:tblStylePr w:type="lastCol">
      <w:tblPr/>
      <w:tcPr>
        <w:tcBorders>
          <w:top w:val="nil"/>
          <w:left w:val="single" w:sz="8" w:space="0" w:color="5C622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6BB" w:themeFill="accent5" w:themeFillTint="3F"/>
      </w:tcPr>
    </w:tblStylePr>
    <w:tblStylePr w:type="band1Horz">
      <w:tblPr/>
      <w:tcPr>
        <w:tcBorders>
          <w:top w:val="nil"/>
          <w:bottom w:val="nil"/>
          <w:insideH w:val="nil"/>
          <w:insideV w:val="nil"/>
        </w:tcBorders>
        <w:shd w:val="clear" w:color="auto" w:fill="E1E6B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37BD3"/>
    <w:rPr>
      <w:rFonts w:asciiTheme="majorHAnsi" w:eastAsiaTheme="majorEastAsia" w:hAnsiTheme="majorHAnsi" w:cstheme="majorBidi"/>
      <w:color w:val="000000" w:themeColor="text1"/>
    </w:rPr>
    <w:tblPr>
      <w:tblStyleRowBandSize w:val="1"/>
      <w:tblStyleColBandSize w:val="1"/>
      <w:tblBorders>
        <w:top w:val="single" w:sz="8" w:space="0" w:color="136F55" w:themeColor="accent6"/>
        <w:left w:val="single" w:sz="8" w:space="0" w:color="136F55" w:themeColor="accent6"/>
        <w:bottom w:val="single" w:sz="8" w:space="0" w:color="136F55" w:themeColor="accent6"/>
        <w:right w:val="single" w:sz="8" w:space="0" w:color="136F55" w:themeColor="accent6"/>
      </w:tblBorders>
    </w:tblPr>
    <w:tblStylePr w:type="firstRow">
      <w:rPr>
        <w:sz w:val="24"/>
        <w:szCs w:val="24"/>
      </w:rPr>
      <w:tblPr/>
      <w:tcPr>
        <w:tcBorders>
          <w:top w:val="nil"/>
          <w:left w:val="nil"/>
          <w:bottom w:val="single" w:sz="24" w:space="0" w:color="136F55" w:themeColor="accent6"/>
          <w:right w:val="nil"/>
          <w:insideH w:val="nil"/>
          <w:insideV w:val="nil"/>
        </w:tcBorders>
        <w:shd w:val="clear" w:color="auto" w:fill="FFFFFF" w:themeFill="background1"/>
      </w:tcPr>
    </w:tblStylePr>
    <w:tblStylePr w:type="lastRow">
      <w:tblPr/>
      <w:tcPr>
        <w:tcBorders>
          <w:top w:val="single" w:sz="8" w:space="0" w:color="136F5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36F55" w:themeColor="accent6"/>
          <w:insideH w:val="nil"/>
          <w:insideV w:val="nil"/>
        </w:tcBorders>
        <w:shd w:val="clear" w:color="auto" w:fill="FFFFFF" w:themeFill="background1"/>
      </w:tcPr>
    </w:tblStylePr>
    <w:tblStylePr w:type="lastCol">
      <w:tblPr/>
      <w:tcPr>
        <w:tcBorders>
          <w:top w:val="nil"/>
          <w:left w:val="single" w:sz="8" w:space="0" w:color="136F5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F1DE" w:themeFill="accent6" w:themeFillTint="3F"/>
      </w:tcPr>
    </w:tblStylePr>
    <w:tblStylePr w:type="band1Horz">
      <w:tblPr/>
      <w:tcPr>
        <w:tcBorders>
          <w:top w:val="nil"/>
          <w:bottom w:val="nil"/>
          <w:insideH w:val="nil"/>
          <w:insideV w:val="nil"/>
        </w:tcBorders>
        <w:shd w:val="clear" w:color="auto" w:fill="AEF1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B37B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7BD3"/>
    <w:tblPr>
      <w:tblStyleRowBandSize w:val="1"/>
      <w:tblStyleColBandSize w:val="1"/>
      <w:tblBorders>
        <w:top w:val="single" w:sz="8" w:space="0" w:color="86CADB" w:themeColor="accent1" w:themeTint="BF"/>
        <w:left w:val="single" w:sz="8" w:space="0" w:color="86CADB" w:themeColor="accent1" w:themeTint="BF"/>
        <w:bottom w:val="single" w:sz="8" w:space="0" w:color="86CADB" w:themeColor="accent1" w:themeTint="BF"/>
        <w:right w:val="single" w:sz="8" w:space="0" w:color="86CADB" w:themeColor="accent1" w:themeTint="BF"/>
        <w:insideH w:val="single" w:sz="8" w:space="0" w:color="86CADB" w:themeColor="accent1" w:themeTint="BF"/>
      </w:tblBorders>
    </w:tblPr>
    <w:tblStylePr w:type="firstRow">
      <w:pPr>
        <w:spacing w:before="0" w:after="0" w:line="240" w:lineRule="auto"/>
      </w:pPr>
      <w:rPr>
        <w:b/>
        <w:bCs/>
        <w:color w:val="FFFFFF" w:themeColor="background1"/>
      </w:rPr>
      <w:tblPr/>
      <w:tcPr>
        <w:tcBorders>
          <w:top w:val="single" w:sz="8" w:space="0" w:color="86CADB" w:themeColor="accent1" w:themeTint="BF"/>
          <w:left w:val="single" w:sz="8" w:space="0" w:color="86CADB" w:themeColor="accent1" w:themeTint="BF"/>
          <w:bottom w:val="single" w:sz="8" w:space="0" w:color="86CADB" w:themeColor="accent1" w:themeTint="BF"/>
          <w:right w:val="single" w:sz="8" w:space="0" w:color="86CADB" w:themeColor="accent1" w:themeTint="BF"/>
          <w:insideH w:val="nil"/>
          <w:insideV w:val="nil"/>
        </w:tcBorders>
        <w:shd w:val="clear" w:color="auto" w:fill="5EB9CF" w:themeFill="accent1"/>
      </w:tcPr>
    </w:tblStylePr>
    <w:tblStylePr w:type="lastRow">
      <w:pPr>
        <w:spacing w:before="0" w:after="0" w:line="240" w:lineRule="auto"/>
      </w:pPr>
      <w:rPr>
        <w:b/>
        <w:bCs/>
      </w:rPr>
      <w:tblPr/>
      <w:tcPr>
        <w:tcBorders>
          <w:top w:val="double" w:sz="6" w:space="0" w:color="86CADB" w:themeColor="accent1" w:themeTint="BF"/>
          <w:left w:val="single" w:sz="8" w:space="0" w:color="86CADB" w:themeColor="accent1" w:themeTint="BF"/>
          <w:bottom w:val="single" w:sz="8" w:space="0" w:color="86CADB" w:themeColor="accent1" w:themeTint="BF"/>
          <w:right w:val="single" w:sz="8" w:space="0" w:color="86CA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DF3" w:themeFill="accent1" w:themeFillTint="3F"/>
      </w:tcPr>
    </w:tblStylePr>
    <w:tblStylePr w:type="band1Horz">
      <w:tblPr/>
      <w:tcPr>
        <w:tcBorders>
          <w:insideH w:val="nil"/>
          <w:insideV w:val="nil"/>
        </w:tcBorders>
        <w:shd w:val="clear" w:color="auto" w:fill="D7ED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7BD3"/>
    <w:tblPr>
      <w:tblStyleRowBandSize w:val="1"/>
      <w:tblStyleColBandSize w:val="1"/>
      <w:tblBorders>
        <w:top w:val="single" w:sz="8" w:space="0" w:color="BDBDBD" w:themeColor="accent2" w:themeTint="BF"/>
        <w:left w:val="single" w:sz="8" w:space="0" w:color="BDBDBD" w:themeColor="accent2" w:themeTint="BF"/>
        <w:bottom w:val="single" w:sz="8" w:space="0" w:color="BDBDBD" w:themeColor="accent2" w:themeTint="BF"/>
        <w:right w:val="single" w:sz="8" w:space="0" w:color="BDBDBD" w:themeColor="accent2" w:themeTint="BF"/>
        <w:insideH w:val="single" w:sz="8" w:space="0" w:color="BDBDBD" w:themeColor="accent2" w:themeTint="BF"/>
      </w:tblBorders>
    </w:tblPr>
    <w:tblStylePr w:type="firstRow">
      <w:pPr>
        <w:spacing w:before="0" w:after="0" w:line="240" w:lineRule="auto"/>
      </w:pPr>
      <w:rPr>
        <w:b/>
        <w:bCs/>
        <w:color w:val="FFFFFF" w:themeColor="background1"/>
      </w:rPr>
      <w:tblPr/>
      <w:tcPr>
        <w:tcBorders>
          <w:top w:val="single" w:sz="8" w:space="0" w:color="BDBDBD" w:themeColor="accent2" w:themeTint="BF"/>
          <w:left w:val="single" w:sz="8" w:space="0" w:color="BDBDBD" w:themeColor="accent2" w:themeTint="BF"/>
          <w:bottom w:val="single" w:sz="8" w:space="0" w:color="BDBDBD" w:themeColor="accent2" w:themeTint="BF"/>
          <w:right w:val="single" w:sz="8" w:space="0" w:color="BDBDBD" w:themeColor="accent2" w:themeTint="BF"/>
          <w:insideH w:val="nil"/>
          <w:insideV w:val="nil"/>
        </w:tcBorders>
        <w:shd w:val="clear" w:color="auto" w:fill="A8A8A8" w:themeFill="accent2"/>
      </w:tcPr>
    </w:tblStylePr>
    <w:tblStylePr w:type="lastRow">
      <w:pPr>
        <w:spacing w:before="0" w:after="0" w:line="240" w:lineRule="auto"/>
      </w:pPr>
      <w:rPr>
        <w:b/>
        <w:bCs/>
      </w:rPr>
      <w:tblPr/>
      <w:tcPr>
        <w:tcBorders>
          <w:top w:val="double" w:sz="6" w:space="0" w:color="BDBDBD" w:themeColor="accent2" w:themeTint="BF"/>
          <w:left w:val="single" w:sz="8" w:space="0" w:color="BDBDBD" w:themeColor="accent2" w:themeTint="BF"/>
          <w:bottom w:val="single" w:sz="8" w:space="0" w:color="BDBDBD" w:themeColor="accent2" w:themeTint="BF"/>
          <w:right w:val="single" w:sz="8" w:space="0" w:color="BDBDB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E9E9" w:themeFill="accent2" w:themeFillTint="3F"/>
      </w:tcPr>
    </w:tblStylePr>
    <w:tblStylePr w:type="band1Horz">
      <w:tblPr/>
      <w:tcPr>
        <w:tcBorders>
          <w:insideH w:val="nil"/>
          <w:insideV w:val="nil"/>
        </w:tcBorders>
        <w:shd w:val="clear" w:color="auto" w:fill="E9E9E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7BD3"/>
    <w:tblPr>
      <w:tblStyleRowBandSize w:val="1"/>
      <w:tblStyleColBandSize w:val="1"/>
      <w:tblBorders>
        <w:top w:val="single" w:sz="8" w:space="0" w:color="97C6B5" w:themeColor="accent3" w:themeTint="BF"/>
        <w:left w:val="single" w:sz="8" w:space="0" w:color="97C6B5" w:themeColor="accent3" w:themeTint="BF"/>
        <w:bottom w:val="single" w:sz="8" w:space="0" w:color="97C6B5" w:themeColor="accent3" w:themeTint="BF"/>
        <w:right w:val="single" w:sz="8" w:space="0" w:color="97C6B5" w:themeColor="accent3" w:themeTint="BF"/>
        <w:insideH w:val="single" w:sz="8" w:space="0" w:color="97C6B5" w:themeColor="accent3" w:themeTint="BF"/>
      </w:tblBorders>
    </w:tblPr>
    <w:tblStylePr w:type="firstRow">
      <w:pPr>
        <w:spacing w:before="0" w:after="0" w:line="240" w:lineRule="auto"/>
      </w:pPr>
      <w:rPr>
        <w:b/>
        <w:bCs/>
        <w:color w:val="FFFFFF" w:themeColor="background1"/>
      </w:rPr>
      <w:tblPr/>
      <w:tcPr>
        <w:tcBorders>
          <w:top w:val="single" w:sz="8" w:space="0" w:color="97C6B5" w:themeColor="accent3" w:themeTint="BF"/>
          <w:left w:val="single" w:sz="8" w:space="0" w:color="97C6B5" w:themeColor="accent3" w:themeTint="BF"/>
          <w:bottom w:val="single" w:sz="8" w:space="0" w:color="97C6B5" w:themeColor="accent3" w:themeTint="BF"/>
          <w:right w:val="single" w:sz="8" w:space="0" w:color="97C6B5" w:themeColor="accent3" w:themeTint="BF"/>
          <w:insideH w:val="nil"/>
          <w:insideV w:val="nil"/>
        </w:tcBorders>
        <w:shd w:val="clear" w:color="auto" w:fill="75B39D" w:themeFill="accent3"/>
      </w:tcPr>
    </w:tblStylePr>
    <w:tblStylePr w:type="lastRow">
      <w:pPr>
        <w:spacing w:before="0" w:after="0" w:line="240" w:lineRule="auto"/>
      </w:pPr>
      <w:rPr>
        <w:b/>
        <w:bCs/>
      </w:rPr>
      <w:tblPr/>
      <w:tcPr>
        <w:tcBorders>
          <w:top w:val="double" w:sz="6" w:space="0" w:color="97C6B5" w:themeColor="accent3" w:themeTint="BF"/>
          <w:left w:val="single" w:sz="8" w:space="0" w:color="97C6B5" w:themeColor="accent3" w:themeTint="BF"/>
          <w:bottom w:val="single" w:sz="8" w:space="0" w:color="97C6B5" w:themeColor="accent3" w:themeTint="BF"/>
          <w:right w:val="single" w:sz="8" w:space="0" w:color="97C6B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CE6" w:themeFill="accent3" w:themeFillTint="3F"/>
      </w:tcPr>
    </w:tblStylePr>
    <w:tblStylePr w:type="band1Horz">
      <w:tblPr/>
      <w:tcPr>
        <w:tcBorders>
          <w:insideH w:val="nil"/>
          <w:insideV w:val="nil"/>
        </w:tcBorders>
        <w:shd w:val="clear" w:color="auto" w:fill="DCECE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7BD3"/>
    <w:tblPr>
      <w:tblStyleRowBandSize w:val="1"/>
      <w:tblStyleColBandSize w:val="1"/>
      <w:tblBorders>
        <w:top w:val="single" w:sz="8" w:space="0" w:color="D12944" w:themeColor="accent4" w:themeTint="BF"/>
        <w:left w:val="single" w:sz="8" w:space="0" w:color="D12944" w:themeColor="accent4" w:themeTint="BF"/>
        <w:bottom w:val="single" w:sz="8" w:space="0" w:color="D12944" w:themeColor="accent4" w:themeTint="BF"/>
        <w:right w:val="single" w:sz="8" w:space="0" w:color="D12944" w:themeColor="accent4" w:themeTint="BF"/>
        <w:insideH w:val="single" w:sz="8" w:space="0" w:color="D12944" w:themeColor="accent4" w:themeTint="BF"/>
      </w:tblBorders>
    </w:tblPr>
    <w:tblStylePr w:type="firstRow">
      <w:pPr>
        <w:spacing w:before="0" w:after="0" w:line="240" w:lineRule="auto"/>
      </w:pPr>
      <w:rPr>
        <w:b/>
        <w:bCs/>
        <w:color w:val="FFFFFF" w:themeColor="background1"/>
      </w:rPr>
      <w:tblPr/>
      <w:tcPr>
        <w:tcBorders>
          <w:top w:val="single" w:sz="8" w:space="0" w:color="D12944" w:themeColor="accent4" w:themeTint="BF"/>
          <w:left w:val="single" w:sz="8" w:space="0" w:color="D12944" w:themeColor="accent4" w:themeTint="BF"/>
          <w:bottom w:val="single" w:sz="8" w:space="0" w:color="D12944" w:themeColor="accent4" w:themeTint="BF"/>
          <w:right w:val="single" w:sz="8" w:space="0" w:color="D12944" w:themeColor="accent4" w:themeTint="BF"/>
          <w:insideH w:val="nil"/>
          <w:insideV w:val="nil"/>
        </w:tcBorders>
        <w:shd w:val="clear" w:color="auto" w:fill="891B2D" w:themeFill="accent4"/>
      </w:tcPr>
    </w:tblStylePr>
    <w:tblStylePr w:type="lastRow">
      <w:pPr>
        <w:spacing w:before="0" w:after="0" w:line="240" w:lineRule="auto"/>
      </w:pPr>
      <w:rPr>
        <w:b/>
        <w:bCs/>
      </w:rPr>
      <w:tblPr/>
      <w:tcPr>
        <w:tcBorders>
          <w:top w:val="double" w:sz="6" w:space="0" w:color="D12944" w:themeColor="accent4" w:themeTint="BF"/>
          <w:left w:val="single" w:sz="8" w:space="0" w:color="D12944" w:themeColor="accent4" w:themeTint="BF"/>
          <w:bottom w:val="single" w:sz="8" w:space="0" w:color="D12944" w:themeColor="accent4" w:themeTint="BF"/>
          <w:right w:val="single" w:sz="8" w:space="0" w:color="D1294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1B7C0" w:themeFill="accent4" w:themeFillTint="3F"/>
      </w:tcPr>
    </w:tblStylePr>
    <w:tblStylePr w:type="band1Horz">
      <w:tblPr/>
      <w:tcPr>
        <w:tcBorders>
          <w:insideH w:val="nil"/>
          <w:insideV w:val="nil"/>
        </w:tcBorders>
        <w:shd w:val="clear" w:color="auto" w:fill="F1B7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7BD3"/>
    <w:tblPr>
      <w:tblStyleRowBandSize w:val="1"/>
      <w:tblStyleColBandSize w:val="1"/>
      <w:tblBorders>
        <w:top w:val="single" w:sz="8" w:space="0" w:color="9CA63D" w:themeColor="accent5" w:themeTint="BF"/>
        <w:left w:val="single" w:sz="8" w:space="0" w:color="9CA63D" w:themeColor="accent5" w:themeTint="BF"/>
        <w:bottom w:val="single" w:sz="8" w:space="0" w:color="9CA63D" w:themeColor="accent5" w:themeTint="BF"/>
        <w:right w:val="single" w:sz="8" w:space="0" w:color="9CA63D" w:themeColor="accent5" w:themeTint="BF"/>
        <w:insideH w:val="single" w:sz="8" w:space="0" w:color="9CA63D" w:themeColor="accent5" w:themeTint="BF"/>
      </w:tblBorders>
    </w:tblPr>
    <w:tblStylePr w:type="firstRow">
      <w:pPr>
        <w:spacing w:before="0" w:after="0" w:line="240" w:lineRule="auto"/>
      </w:pPr>
      <w:rPr>
        <w:b/>
        <w:bCs/>
        <w:color w:val="FFFFFF" w:themeColor="background1"/>
      </w:rPr>
      <w:tblPr/>
      <w:tcPr>
        <w:tcBorders>
          <w:top w:val="single" w:sz="8" w:space="0" w:color="9CA63D" w:themeColor="accent5" w:themeTint="BF"/>
          <w:left w:val="single" w:sz="8" w:space="0" w:color="9CA63D" w:themeColor="accent5" w:themeTint="BF"/>
          <w:bottom w:val="single" w:sz="8" w:space="0" w:color="9CA63D" w:themeColor="accent5" w:themeTint="BF"/>
          <w:right w:val="single" w:sz="8" w:space="0" w:color="9CA63D" w:themeColor="accent5" w:themeTint="BF"/>
          <w:insideH w:val="nil"/>
          <w:insideV w:val="nil"/>
        </w:tcBorders>
        <w:shd w:val="clear" w:color="auto" w:fill="5C6224" w:themeFill="accent5"/>
      </w:tcPr>
    </w:tblStylePr>
    <w:tblStylePr w:type="lastRow">
      <w:pPr>
        <w:spacing w:before="0" w:after="0" w:line="240" w:lineRule="auto"/>
      </w:pPr>
      <w:rPr>
        <w:b/>
        <w:bCs/>
      </w:rPr>
      <w:tblPr/>
      <w:tcPr>
        <w:tcBorders>
          <w:top w:val="double" w:sz="6" w:space="0" w:color="9CA63D" w:themeColor="accent5" w:themeTint="BF"/>
          <w:left w:val="single" w:sz="8" w:space="0" w:color="9CA63D" w:themeColor="accent5" w:themeTint="BF"/>
          <w:bottom w:val="single" w:sz="8" w:space="0" w:color="9CA63D" w:themeColor="accent5" w:themeTint="BF"/>
          <w:right w:val="single" w:sz="8" w:space="0" w:color="9CA63D"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E6BB" w:themeFill="accent5" w:themeFillTint="3F"/>
      </w:tcPr>
    </w:tblStylePr>
    <w:tblStylePr w:type="band1Horz">
      <w:tblPr/>
      <w:tcPr>
        <w:tcBorders>
          <w:insideH w:val="nil"/>
          <w:insideV w:val="nil"/>
        </w:tcBorders>
        <w:shd w:val="clear" w:color="auto" w:fill="E1E6B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7BD3"/>
    <w:tblPr>
      <w:tblStyleRowBandSize w:val="1"/>
      <w:tblStyleColBandSize w:val="1"/>
      <w:tblBorders>
        <w:top w:val="single" w:sz="8" w:space="0" w:color="21C092" w:themeColor="accent6" w:themeTint="BF"/>
        <w:left w:val="single" w:sz="8" w:space="0" w:color="21C092" w:themeColor="accent6" w:themeTint="BF"/>
        <w:bottom w:val="single" w:sz="8" w:space="0" w:color="21C092" w:themeColor="accent6" w:themeTint="BF"/>
        <w:right w:val="single" w:sz="8" w:space="0" w:color="21C092" w:themeColor="accent6" w:themeTint="BF"/>
        <w:insideH w:val="single" w:sz="8" w:space="0" w:color="21C092" w:themeColor="accent6" w:themeTint="BF"/>
      </w:tblBorders>
    </w:tblPr>
    <w:tblStylePr w:type="firstRow">
      <w:pPr>
        <w:spacing w:before="0" w:after="0" w:line="240" w:lineRule="auto"/>
      </w:pPr>
      <w:rPr>
        <w:b/>
        <w:bCs/>
        <w:color w:val="FFFFFF" w:themeColor="background1"/>
      </w:rPr>
      <w:tblPr/>
      <w:tcPr>
        <w:tcBorders>
          <w:top w:val="single" w:sz="8" w:space="0" w:color="21C092" w:themeColor="accent6" w:themeTint="BF"/>
          <w:left w:val="single" w:sz="8" w:space="0" w:color="21C092" w:themeColor="accent6" w:themeTint="BF"/>
          <w:bottom w:val="single" w:sz="8" w:space="0" w:color="21C092" w:themeColor="accent6" w:themeTint="BF"/>
          <w:right w:val="single" w:sz="8" w:space="0" w:color="21C092" w:themeColor="accent6" w:themeTint="BF"/>
          <w:insideH w:val="nil"/>
          <w:insideV w:val="nil"/>
        </w:tcBorders>
        <w:shd w:val="clear" w:color="auto" w:fill="136F55" w:themeFill="accent6"/>
      </w:tcPr>
    </w:tblStylePr>
    <w:tblStylePr w:type="lastRow">
      <w:pPr>
        <w:spacing w:before="0" w:after="0" w:line="240" w:lineRule="auto"/>
      </w:pPr>
      <w:rPr>
        <w:b/>
        <w:bCs/>
      </w:rPr>
      <w:tblPr/>
      <w:tcPr>
        <w:tcBorders>
          <w:top w:val="double" w:sz="6" w:space="0" w:color="21C092" w:themeColor="accent6" w:themeTint="BF"/>
          <w:left w:val="single" w:sz="8" w:space="0" w:color="21C092" w:themeColor="accent6" w:themeTint="BF"/>
          <w:bottom w:val="single" w:sz="8" w:space="0" w:color="21C092" w:themeColor="accent6" w:themeTint="BF"/>
          <w:right w:val="single" w:sz="8" w:space="0" w:color="21C092" w:themeColor="accent6" w:themeTint="BF"/>
          <w:insideH w:val="nil"/>
          <w:insideV w:val="nil"/>
        </w:tcBorders>
      </w:tcPr>
    </w:tblStylePr>
    <w:tblStylePr w:type="firstCol">
      <w:rPr>
        <w:b/>
        <w:bCs/>
      </w:rPr>
    </w:tblStylePr>
    <w:tblStylePr w:type="lastCol">
      <w:rPr>
        <w:b/>
        <w:bCs/>
      </w:rPr>
    </w:tblStylePr>
    <w:tblStylePr w:type="band1Vert">
      <w:tblPr/>
      <w:tcPr>
        <w:shd w:val="clear" w:color="auto" w:fill="AEF1DE" w:themeFill="accent6" w:themeFillTint="3F"/>
      </w:tcPr>
    </w:tblStylePr>
    <w:tblStylePr w:type="band1Horz">
      <w:tblPr/>
      <w:tcPr>
        <w:tcBorders>
          <w:insideH w:val="nil"/>
          <w:insideV w:val="nil"/>
        </w:tcBorders>
        <w:shd w:val="clear" w:color="auto" w:fill="AEF1D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37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7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B9C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B9CF" w:themeFill="accent1"/>
      </w:tcPr>
    </w:tblStylePr>
    <w:tblStylePr w:type="lastCol">
      <w:rPr>
        <w:b/>
        <w:bCs/>
        <w:color w:val="FFFFFF" w:themeColor="background1"/>
      </w:rPr>
      <w:tblPr/>
      <w:tcPr>
        <w:tcBorders>
          <w:left w:val="nil"/>
          <w:right w:val="nil"/>
          <w:insideH w:val="nil"/>
          <w:insideV w:val="nil"/>
        </w:tcBorders>
        <w:shd w:val="clear" w:color="auto" w:fill="5EB9C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7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8A8A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8A8A8" w:themeFill="accent2"/>
      </w:tcPr>
    </w:tblStylePr>
    <w:tblStylePr w:type="lastCol">
      <w:rPr>
        <w:b/>
        <w:bCs/>
        <w:color w:val="FFFFFF" w:themeColor="background1"/>
      </w:rPr>
      <w:tblPr/>
      <w:tcPr>
        <w:tcBorders>
          <w:left w:val="nil"/>
          <w:right w:val="nil"/>
          <w:insideH w:val="nil"/>
          <w:insideV w:val="nil"/>
        </w:tcBorders>
        <w:shd w:val="clear" w:color="auto" w:fill="A8A8A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7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39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39D" w:themeFill="accent3"/>
      </w:tcPr>
    </w:tblStylePr>
    <w:tblStylePr w:type="lastCol">
      <w:rPr>
        <w:b/>
        <w:bCs/>
        <w:color w:val="FFFFFF" w:themeColor="background1"/>
      </w:rPr>
      <w:tblPr/>
      <w:tcPr>
        <w:tcBorders>
          <w:left w:val="nil"/>
          <w:right w:val="nil"/>
          <w:insideH w:val="nil"/>
          <w:insideV w:val="nil"/>
        </w:tcBorders>
        <w:shd w:val="clear" w:color="auto" w:fill="75B39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7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91B2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91B2D" w:themeFill="accent4"/>
      </w:tcPr>
    </w:tblStylePr>
    <w:tblStylePr w:type="lastCol">
      <w:rPr>
        <w:b/>
        <w:bCs/>
        <w:color w:val="FFFFFF" w:themeColor="background1"/>
      </w:rPr>
      <w:tblPr/>
      <w:tcPr>
        <w:tcBorders>
          <w:left w:val="nil"/>
          <w:right w:val="nil"/>
          <w:insideH w:val="nil"/>
          <w:insideV w:val="nil"/>
        </w:tcBorders>
        <w:shd w:val="clear" w:color="auto" w:fill="891B2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7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622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C6224" w:themeFill="accent5"/>
      </w:tcPr>
    </w:tblStylePr>
    <w:tblStylePr w:type="lastCol">
      <w:rPr>
        <w:b/>
        <w:bCs/>
        <w:color w:val="FFFFFF" w:themeColor="background1"/>
      </w:rPr>
      <w:tblPr/>
      <w:tcPr>
        <w:tcBorders>
          <w:left w:val="nil"/>
          <w:right w:val="nil"/>
          <w:insideH w:val="nil"/>
          <w:insideV w:val="nil"/>
        </w:tcBorders>
        <w:shd w:val="clear" w:color="auto" w:fill="5C622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7B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36F5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36F55" w:themeFill="accent6"/>
      </w:tcPr>
    </w:tblStylePr>
    <w:tblStylePr w:type="lastCol">
      <w:rPr>
        <w:b/>
        <w:bCs/>
        <w:color w:val="FFFFFF" w:themeColor="background1"/>
      </w:rPr>
      <w:tblPr/>
      <w:tcPr>
        <w:tcBorders>
          <w:left w:val="nil"/>
          <w:right w:val="nil"/>
          <w:insideH w:val="nil"/>
          <w:insideV w:val="nil"/>
        </w:tcBorders>
        <w:shd w:val="clear" w:color="auto" w:fill="136F5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B37BD3"/>
    <w:pPr>
      <w:overflowPunct w:val="0"/>
      <w:autoSpaceDE w:val="0"/>
      <w:autoSpaceDN w:val="0"/>
      <w:adjustRightInd w:val="0"/>
      <w:jc w:val="both"/>
      <w:textAlignment w:val="baseline"/>
    </w:pPr>
  </w:style>
  <w:style w:type="paragraph" w:styleId="Quote">
    <w:name w:val="Quote"/>
    <w:basedOn w:val="Normal"/>
    <w:next w:val="Normal"/>
    <w:link w:val="QuoteChar"/>
    <w:uiPriority w:val="29"/>
    <w:qFormat/>
    <w:rsid w:val="00B37BD3"/>
    <w:rPr>
      <w:i/>
      <w:iCs/>
      <w:color w:val="000000" w:themeColor="text1"/>
    </w:rPr>
  </w:style>
  <w:style w:type="character" w:customStyle="1" w:styleId="QuoteChar">
    <w:name w:val="Quote Char"/>
    <w:basedOn w:val="DefaultParagraphFont"/>
    <w:link w:val="Quote"/>
    <w:uiPriority w:val="29"/>
    <w:rsid w:val="00B37BD3"/>
    <w:rPr>
      <w:i/>
      <w:iCs/>
      <w:color w:val="000000" w:themeColor="text1"/>
      <w:lang w:val="en-GB"/>
    </w:rPr>
  </w:style>
  <w:style w:type="character" w:styleId="SubtleEmphasis">
    <w:name w:val="Subtle Emphasis"/>
    <w:basedOn w:val="DefaultParagraphFont"/>
    <w:uiPriority w:val="19"/>
    <w:qFormat/>
    <w:rsid w:val="00B37BD3"/>
    <w:rPr>
      <w:i/>
      <w:iCs/>
      <w:color w:val="808080" w:themeColor="text1" w:themeTint="7F"/>
      <w:lang w:val="en-GB"/>
    </w:rPr>
  </w:style>
  <w:style w:type="character" w:styleId="SubtleReference">
    <w:name w:val="Subtle Reference"/>
    <w:basedOn w:val="DefaultParagraphFont"/>
    <w:uiPriority w:val="31"/>
    <w:qFormat/>
    <w:rsid w:val="00B37BD3"/>
    <w:rPr>
      <w:smallCaps/>
      <w:color w:val="A8A8A8" w:themeColor="accent2"/>
      <w:u w:val="single"/>
      <w:lang w:val="en-GB"/>
    </w:rPr>
  </w:style>
  <w:style w:type="table" w:styleId="Table3Deffects1">
    <w:name w:val="Table 3D effects 1"/>
    <w:basedOn w:val="TableNormal"/>
    <w:semiHidden/>
    <w:unhideWhenUsed/>
    <w:rsid w:val="00B37BD3"/>
    <w:pPr>
      <w:overflowPunct w:val="0"/>
      <w:autoSpaceDE w:val="0"/>
      <w:autoSpaceDN w:val="0"/>
      <w:adjustRightInd w:val="0"/>
      <w:spacing w:before="120" w:after="120"/>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B37BD3"/>
    <w:pPr>
      <w:overflowPunct w:val="0"/>
      <w:autoSpaceDE w:val="0"/>
      <w:autoSpaceDN w:val="0"/>
      <w:adjustRightInd w:val="0"/>
      <w:spacing w:before="120" w:after="120"/>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B37BD3"/>
    <w:pPr>
      <w:overflowPunct w:val="0"/>
      <w:autoSpaceDE w:val="0"/>
      <w:autoSpaceDN w:val="0"/>
      <w:adjustRightInd w:val="0"/>
      <w:spacing w:before="120" w:after="120"/>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B37BD3"/>
    <w:pPr>
      <w:overflowPunct w:val="0"/>
      <w:autoSpaceDE w:val="0"/>
      <w:autoSpaceDN w:val="0"/>
      <w:adjustRightInd w:val="0"/>
      <w:spacing w:before="120" w:after="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B37BD3"/>
    <w:pPr>
      <w:overflowPunct w:val="0"/>
      <w:autoSpaceDE w:val="0"/>
      <w:autoSpaceDN w:val="0"/>
      <w:adjustRightInd w:val="0"/>
      <w:spacing w:before="120" w:after="12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B37BD3"/>
    <w:pPr>
      <w:overflowPunct w:val="0"/>
      <w:autoSpaceDE w:val="0"/>
      <w:autoSpaceDN w:val="0"/>
      <w:adjustRightInd w:val="0"/>
      <w:spacing w:before="120" w:after="120"/>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B37BD3"/>
    <w:pPr>
      <w:overflowPunct w:val="0"/>
      <w:autoSpaceDE w:val="0"/>
      <w:autoSpaceDN w:val="0"/>
      <w:adjustRightInd w:val="0"/>
      <w:spacing w:before="120" w:after="120"/>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B37BD3"/>
    <w:pPr>
      <w:overflowPunct w:val="0"/>
      <w:autoSpaceDE w:val="0"/>
      <w:autoSpaceDN w:val="0"/>
      <w:adjustRightInd w:val="0"/>
      <w:spacing w:before="120" w:after="120"/>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B37BD3"/>
    <w:pPr>
      <w:overflowPunct w:val="0"/>
      <w:autoSpaceDE w:val="0"/>
      <w:autoSpaceDN w:val="0"/>
      <w:adjustRightInd w:val="0"/>
      <w:spacing w:before="120" w:after="120"/>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B37BD3"/>
    <w:pPr>
      <w:overflowPunct w:val="0"/>
      <w:autoSpaceDE w:val="0"/>
      <w:autoSpaceDN w:val="0"/>
      <w:adjustRightInd w:val="0"/>
      <w:spacing w:before="120" w:after="120"/>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B37BD3"/>
    <w:pPr>
      <w:overflowPunct w:val="0"/>
      <w:autoSpaceDE w:val="0"/>
      <w:autoSpaceDN w:val="0"/>
      <w:adjustRightInd w:val="0"/>
      <w:spacing w:before="120" w:after="120"/>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B37BD3"/>
    <w:pPr>
      <w:overflowPunct w:val="0"/>
      <w:autoSpaceDE w:val="0"/>
      <w:autoSpaceDN w:val="0"/>
      <w:adjustRightInd w:val="0"/>
      <w:spacing w:before="120" w:after="120"/>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B37BD3"/>
    <w:pPr>
      <w:overflowPunct w:val="0"/>
      <w:autoSpaceDE w:val="0"/>
      <w:autoSpaceDN w:val="0"/>
      <w:adjustRightInd w:val="0"/>
      <w:spacing w:before="120" w:after="120"/>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B37BD3"/>
    <w:pPr>
      <w:overflowPunct w:val="0"/>
      <w:autoSpaceDE w:val="0"/>
      <w:autoSpaceDN w:val="0"/>
      <w:adjustRightInd w:val="0"/>
      <w:spacing w:before="120" w:after="120"/>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B37BD3"/>
    <w:pPr>
      <w:overflowPunct w:val="0"/>
      <w:autoSpaceDE w:val="0"/>
      <w:autoSpaceDN w:val="0"/>
      <w:adjustRightInd w:val="0"/>
      <w:spacing w:before="120" w:after="120"/>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B37BD3"/>
    <w:pPr>
      <w:overflowPunct w:val="0"/>
      <w:autoSpaceDE w:val="0"/>
      <w:autoSpaceDN w:val="0"/>
      <w:adjustRightInd w:val="0"/>
      <w:spacing w:before="120" w:after="120"/>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B37BD3"/>
    <w:pPr>
      <w:overflowPunct w:val="0"/>
      <w:autoSpaceDE w:val="0"/>
      <w:autoSpaceDN w:val="0"/>
      <w:adjustRightInd w:val="0"/>
      <w:spacing w:before="120" w:after="12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B37BD3"/>
    <w:pPr>
      <w:overflowPunct w:val="0"/>
      <w:autoSpaceDE w:val="0"/>
      <w:autoSpaceDN w:val="0"/>
      <w:adjustRightInd w:val="0"/>
      <w:spacing w:before="120" w:after="12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B37BD3"/>
    <w:pPr>
      <w:overflowPunct w:val="0"/>
      <w:autoSpaceDE w:val="0"/>
      <w:autoSpaceDN w:val="0"/>
      <w:adjustRightInd w:val="0"/>
      <w:spacing w:before="120" w:after="120"/>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B37BD3"/>
    <w:pPr>
      <w:overflowPunct w:val="0"/>
      <w:autoSpaceDE w:val="0"/>
      <w:autoSpaceDN w:val="0"/>
      <w:adjustRightInd w:val="0"/>
      <w:spacing w:before="120" w:after="120"/>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B37BD3"/>
    <w:pPr>
      <w:overflowPunct w:val="0"/>
      <w:autoSpaceDE w:val="0"/>
      <w:autoSpaceDN w:val="0"/>
      <w:adjustRightInd w:val="0"/>
      <w:spacing w:before="120" w:after="120"/>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B37BD3"/>
    <w:pPr>
      <w:overflowPunct w:val="0"/>
      <w:autoSpaceDE w:val="0"/>
      <w:autoSpaceDN w:val="0"/>
      <w:adjustRightInd w:val="0"/>
      <w:spacing w:before="120" w:after="12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B37BD3"/>
    <w:pPr>
      <w:overflowPunct w:val="0"/>
      <w:autoSpaceDE w:val="0"/>
      <w:autoSpaceDN w:val="0"/>
      <w:adjustRightInd w:val="0"/>
      <w:spacing w:before="120" w:after="120"/>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B37BD3"/>
    <w:pPr>
      <w:overflowPunct w:val="0"/>
      <w:autoSpaceDE w:val="0"/>
      <w:autoSpaceDN w:val="0"/>
      <w:adjustRightInd w:val="0"/>
      <w:spacing w:before="120" w:after="120"/>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B37BD3"/>
    <w:pPr>
      <w:overflowPunct w:val="0"/>
      <w:autoSpaceDE w:val="0"/>
      <w:autoSpaceDN w:val="0"/>
      <w:adjustRightInd w:val="0"/>
      <w:spacing w:before="120" w:after="120"/>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B37BD3"/>
    <w:pPr>
      <w:overflowPunct w:val="0"/>
      <w:autoSpaceDE w:val="0"/>
      <w:autoSpaceDN w:val="0"/>
      <w:adjustRightInd w:val="0"/>
      <w:spacing w:before="120" w:after="120"/>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B37BD3"/>
    <w:pPr>
      <w:overflowPunct w:val="0"/>
      <w:autoSpaceDE w:val="0"/>
      <w:autoSpaceDN w:val="0"/>
      <w:adjustRightInd w:val="0"/>
      <w:spacing w:before="120" w:after="120"/>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B37BD3"/>
    <w:pPr>
      <w:overflowPunct w:val="0"/>
      <w:autoSpaceDE w:val="0"/>
      <w:autoSpaceDN w:val="0"/>
      <w:adjustRightInd w:val="0"/>
      <w:spacing w:before="120" w:after="120"/>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B37BD3"/>
    <w:pPr>
      <w:overflowPunct w:val="0"/>
      <w:autoSpaceDE w:val="0"/>
      <w:autoSpaceDN w:val="0"/>
      <w:adjustRightInd w:val="0"/>
      <w:spacing w:before="120" w:after="12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B37BD3"/>
    <w:pPr>
      <w:overflowPunct w:val="0"/>
      <w:autoSpaceDE w:val="0"/>
      <w:autoSpaceDN w:val="0"/>
      <w:adjustRightInd w:val="0"/>
      <w:spacing w:before="120" w:after="12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B37BD3"/>
    <w:pPr>
      <w:overflowPunct w:val="0"/>
      <w:autoSpaceDE w:val="0"/>
      <w:autoSpaceDN w:val="0"/>
      <w:adjustRightInd w:val="0"/>
      <w:spacing w:before="120" w:after="120"/>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B37BD3"/>
    <w:pPr>
      <w:overflowPunct w:val="0"/>
      <w:autoSpaceDE w:val="0"/>
      <w:autoSpaceDN w:val="0"/>
      <w:adjustRightInd w:val="0"/>
      <w:spacing w:before="120" w:after="120"/>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B37BD3"/>
    <w:pPr>
      <w:overflowPunct w:val="0"/>
      <w:autoSpaceDE w:val="0"/>
      <w:autoSpaceDN w:val="0"/>
      <w:adjustRightInd w:val="0"/>
      <w:spacing w:before="120" w:after="120"/>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B37BD3"/>
    <w:pPr>
      <w:overflowPunct w:val="0"/>
      <w:autoSpaceDE w:val="0"/>
      <w:autoSpaceDN w:val="0"/>
      <w:adjustRightInd w:val="0"/>
      <w:spacing w:before="120" w:after="12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B37BD3"/>
    <w:pPr>
      <w:overflowPunct w:val="0"/>
      <w:autoSpaceDE w:val="0"/>
      <w:autoSpaceDN w:val="0"/>
      <w:adjustRightInd w:val="0"/>
      <w:spacing w:before="120" w:after="120"/>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B37BD3"/>
    <w:pPr>
      <w:overflowPunct w:val="0"/>
      <w:autoSpaceDE w:val="0"/>
      <w:autoSpaceDN w:val="0"/>
      <w:adjustRightInd w:val="0"/>
      <w:spacing w:before="120" w:after="120"/>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B37BD3"/>
    <w:pPr>
      <w:overflowPunct w:val="0"/>
      <w:autoSpaceDE w:val="0"/>
      <w:autoSpaceDN w:val="0"/>
      <w:adjustRightInd w:val="0"/>
      <w:spacing w:before="120" w:after="120"/>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B37BD3"/>
    <w:pPr>
      <w:overflowPunct w:val="0"/>
      <w:autoSpaceDE w:val="0"/>
      <w:autoSpaceDN w:val="0"/>
      <w:adjustRightInd w:val="0"/>
      <w:spacing w:before="120" w:after="120"/>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B37BD3"/>
    <w:pPr>
      <w:overflowPunct w:val="0"/>
      <w:autoSpaceDE w:val="0"/>
      <w:autoSpaceDN w:val="0"/>
      <w:adjustRightInd w:val="0"/>
      <w:spacing w:before="120" w:after="120"/>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B37BD3"/>
    <w:pPr>
      <w:overflowPunct w:val="0"/>
      <w:autoSpaceDE w:val="0"/>
      <w:autoSpaceDN w:val="0"/>
      <w:adjustRightInd w:val="0"/>
      <w:spacing w:before="120" w:after="12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B37BD3"/>
    <w:pPr>
      <w:overflowPunct w:val="0"/>
      <w:autoSpaceDE w:val="0"/>
      <w:autoSpaceDN w:val="0"/>
      <w:adjustRightInd w:val="0"/>
      <w:spacing w:before="120" w:after="120"/>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B37BD3"/>
    <w:pPr>
      <w:overflowPunct w:val="0"/>
      <w:autoSpaceDE w:val="0"/>
      <w:autoSpaceDN w:val="0"/>
      <w:adjustRightInd w:val="0"/>
      <w:spacing w:before="120" w:after="120"/>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B37BD3"/>
    <w:pPr>
      <w:overflowPunct w:val="0"/>
      <w:autoSpaceDE w:val="0"/>
      <w:autoSpaceDN w:val="0"/>
      <w:adjustRightInd w:val="0"/>
      <w:spacing w:before="120" w:after="120"/>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B37BD3"/>
    <w:pPr>
      <w:keepLines/>
      <w:numPr>
        <w:numId w:val="0"/>
      </w:numPr>
      <w:spacing w:before="480" w:after="0"/>
      <w:jc w:val="both"/>
      <w:outlineLvl w:val="9"/>
    </w:pPr>
    <w:rPr>
      <w:rFonts w:asciiTheme="majorHAnsi" w:eastAsiaTheme="majorEastAsia" w:hAnsiTheme="majorHAnsi" w:cstheme="majorBidi"/>
      <w:bCs/>
      <w:color w:val="3395AD" w:themeColor="accent1" w:themeShade="BF"/>
      <w:kern w:val="0"/>
      <w:sz w:val="28"/>
      <w:szCs w:val="28"/>
    </w:rPr>
  </w:style>
  <w:style w:type="character" w:customStyle="1" w:styleId="Mention1">
    <w:name w:val="Mention1"/>
    <w:basedOn w:val="DefaultParagraphFont"/>
    <w:uiPriority w:val="99"/>
    <w:semiHidden/>
    <w:unhideWhenUsed/>
    <w:rsid w:val="00B716F6"/>
    <w:rPr>
      <w:color w:val="2B579A"/>
      <w:shd w:val="clear" w:color="auto" w:fill="E6E6E6"/>
    </w:rPr>
  </w:style>
  <w:style w:type="paragraph" w:styleId="Revision">
    <w:name w:val="Revision"/>
    <w:hidden/>
    <w:uiPriority w:val="99"/>
    <w:semiHidden/>
    <w:rsid w:val="00966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tatic1.1.sqspcdn.com/static/f/1321365/27575015/1495793366237/LPFMay24.pdf?token=U9zAqtwKdfsRPCHcfwPBRXdMl6c%3D" TargetMode="External"/><Relationship Id="rId13" Type="http://schemas.openxmlformats.org/officeDocument/2006/relationships/hyperlink" Target="https://www.oxfordeconomics.com/recent-releases/one-million-opportunities-the-impact-of-mobile-internet-on-the-economy-of-south-east-asia" TargetMode="External"/><Relationship Id="rId3" Type="http://schemas.openxmlformats.org/officeDocument/2006/relationships/hyperlink" Target="http://www.wik.org/index.php?id=879&amp;L=1" TargetMode="External"/><Relationship Id="rId7" Type="http://schemas.openxmlformats.org/officeDocument/2006/relationships/hyperlink" Target="https://www.aicasia.org/2016/06/17/online-content-and-applications-drove-over-idr89-million-in-economic-value-in-indonesia/" TargetMode="External"/><Relationship Id="rId12" Type="http://schemas.openxmlformats.org/officeDocument/2006/relationships/hyperlink" Target="http://www.wik.org/fileadmin/Studien/2016/OTT_Study_ENG.pdf" TargetMode="External"/><Relationship Id="rId2" Type="http://schemas.openxmlformats.org/officeDocument/2006/relationships/hyperlink" Target="http://www.ccianet.org/2017/05/new-study-highlights-us-5-6-trillion-global-benefit-of-online-applications/" TargetMode="External"/><Relationship Id="rId1" Type="http://schemas.openxmlformats.org/officeDocument/2006/relationships/hyperlink" Target="http://www.ccianet.org/2017/05/new-study-highlights-us-5-6-trillion-global-benefit-of-online-applications/" TargetMode="External"/><Relationship Id="rId6" Type="http://schemas.openxmlformats.org/officeDocument/2006/relationships/hyperlink" Target="http://www.mckinsey.com/industries/high-tech/our-insights/internet-matters" TargetMode="External"/><Relationship Id="rId11" Type="http://schemas.openxmlformats.org/officeDocument/2006/relationships/hyperlink" Target="http://www.analysysmason.com/Research/Content/Reports/Content-application-provider-Internet-infrastructure-Sept2014/" TargetMode="External"/><Relationship Id="rId5" Type="http://schemas.openxmlformats.org/officeDocument/2006/relationships/hyperlink" Target="http://www.oxfordeconomics.com/google/local_global" TargetMode="External"/><Relationship Id="rId10" Type="http://schemas.openxmlformats.org/officeDocument/2006/relationships/hyperlink" Target="https://www.accessnow.org/watch-bad-regulation-ott-services-can-risk-rights/" TargetMode="External"/><Relationship Id="rId4" Type="http://schemas.openxmlformats.org/officeDocument/2006/relationships/hyperlink" Target="http://actonline.org/wp-content/uploads/2016_State_of_App_Economy.pdf" TargetMode="External"/><Relationship Id="rId9" Type="http://schemas.openxmlformats.org/officeDocument/2006/relationships/hyperlink" Target="http://www.wik.org/index.php?id=879&amp;L=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8-18T07:35:50.809"/>
    </inkml:context>
    <inkml:brush xml:id="br0">
      <inkml:brushProperty name="width" value="0.03333" units="cm"/>
      <inkml:brushProperty name="height" value="0.03333" units="cm"/>
    </inkml:brush>
  </inkml:definitions>
  <inkml:trace contextRef="#ctx0" brushRef="#br0">900 1305 4736,'-18'17'0,"-18"-17"640,36 0 128,36-17 1536,-18-1 0,-1 1-1280,0-1 128,-17 0 0,0 1 0,0 17-1152,-17 0 0,-18 0 0,-18 35 0,0 0 0,-35 36 0,-18-1 896,-17 36-1,17 0 897,0 18 128,18-1-2048,17-35 0,18-35 256,36 0 128,-1-18-128,71-35 128,17-52-128,36-19 0,18-17 0,0-18 128,34-17 0,-17-37 128,-17 2-256,-1-18 128,-18 17-256,-34-35 128,-36 0-128,1 35 128,-18 18-128,-36 35 0,-18 54 0,-34 34 0,-36 53 0,0 0 0,-17 36 0,17 0 0,0 34 0,36-16 0,34-1 0,36-18 0,18-17 0,35 0 0,35-35 0,36-1 128,16-17-128,2 0 128,-1 0-128,0 18 128,0 17-128,-18 1 0,-17-1 0,-18 18 0,-35-1 0,0 1 0,-35 0 0,-18 18 0,-35 17 0,-1 0 128,-34-18-128,17 1 128,-35 0-128,17-36 0,-17-18 128,0 1 0,17-18-128,1-35 0,17-18 0,35 0 0,1-18 0,52 1 128,18-18-128,17 0 128,36-36-128,35 1 0,0-1 0,36-16 0,34-19 0,-17 18 0,18 35 0,-1 0 0,1 0 0,-18 36 0,-35 16 0,-36 37 0,-17 17 0,-35 17 0,-19 37 0,-52-2 0,-35 19 0,-36 17 0,-17 18 0,-35 0 0,0 0 0,-19-1 0,1 1 0,-17-18 0,-1 18 0,18-52 0,0-20 0,35-16 0,18-1 0,17-34 0,36-1-1152,17-34 128,18-1-9087,53 0-1,-17 17 11648</inkml:trace>
  <inkml:trace contextRef="#ctx0" brushRef="#br0" timeOffset="1679">2663 1305 12800,'0'0'0,"-35"18"128,53-36 128,17-17 1408,-35 18-1,0-1-127,-18 1 128,-17-19-1280,18 18 0,17 18-640,-18-17 0,0 17 128,1 0 0,-18 0 128,17 17 0,-18 1 128,1 18 128,-18-19-256,18 35 128,0-16 0,17-1 0,-17-17 128,35 17 128,0-18-256,17 1 128,1-18-256,35-18 0,0 1 0,17-1 0,1 1-128,17-18 128,18-19-128,-53 20 128,-18 16 128,0 1 0,-17-1 0,0 0 0,-18 18 0,0 18 0,-18 0-128,0 17 0,1-18 128,-18 18 128,17 1-128,-17-1 0,17-18 0,1 18 128,-1-17-256,18 18 128,0-19 0,18 0 0,-1 19-128,18-18 128,1-18 0,16 0 0,2-36-128,16 18 128,18-16-128,-17-20 128,34 2 0,-34 17 128,0-1-256,-18 18 128,-36 1-128,1 17 0,0-17 0,-18 17 0,0 0 0,0 0 0,0 0 0,0 17 0,0-17 128,-18 0 0,18 17-128,-18 19 0,18-18 128,-17-1 0,17 18-128,-18-35 0,18 18 128,0-1 0,0 19-128,18-36 0,17 18 0,0-36 128,0 18-128,19-18 0,-2 18 0,1-18 128,0 1-128,0-1 0,-18 18 0,1-17 0,-1 34 0,0-17 128,-17 0-128,-18 0 0,18 18 0,-36-1 0,0 19 0,0-18 0,1-1 0,-1-17 0,1 17 0,17-17 0,-18 18 0,36-36 0,17 1 0,0 0 0,-17-1 0,17-18 0,0 19 0,1-1 0,-1 1 0,-18 17 0,1 17 0,0-17 0,-18 0 0,18 18 0,-1-18 0,1 17 0,-1-17 0,1 18 0,18-18 0,-19 18 0,36-18 0,-18-18 0,18 0 0,0 1 0,0-18 0,-18 17 0,0 1 0,1-19 0,-1 1 0,0 18 0,-17-1 0,-18 1 128,18-1-128,-54 18 0,1 0-128,-18 0 128,0 18 0,-18 17 0,19-1 0,-1 37 0,18-1 0,35 1 0,0 17 0,52-35 0,19-36 0,0 1 0,17-36 0,0-17 0,0 0-128,0-18 128,-17 1-5248,-18-19 129,17 1-4609</inkml:trace>
  <inkml:trace contextRef="#ctx0" brushRef="#br0" timeOffset="1833">4216 776 15232,'17'18'0,"1"-1"0,-1-17 0,-17 17-5632,18-17 0,-1 0 4480</inkml:trace>
</inkml:ink>
</file>

<file path=word/theme/theme1.xml><?xml version="1.0" encoding="utf-8"?>
<a:theme xmlns:a="http://schemas.openxmlformats.org/drawingml/2006/main" name="OC Theme">
  <a:themeElements>
    <a:clrScheme name="OC Colours">
      <a:dk1>
        <a:sysClr val="windowText" lastClr="000000"/>
      </a:dk1>
      <a:lt1>
        <a:srgbClr val="FFFFFF"/>
      </a:lt1>
      <a:dk2>
        <a:srgbClr val="003145"/>
      </a:dk2>
      <a:lt2>
        <a:srgbClr val="FFFFFF"/>
      </a:lt2>
      <a:accent1>
        <a:srgbClr val="5EB9CF"/>
      </a:accent1>
      <a:accent2>
        <a:srgbClr val="A8A8A8"/>
      </a:accent2>
      <a:accent3>
        <a:srgbClr val="75B39D"/>
      </a:accent3>
      <a:accent4>
        <a:srgbClr val="891B2D"/>
      </a:accent4>
      <a:accent5>
        <a:srgbClr val="5C6224"/>
      </a:accent5>
      <a:accent6>
        <a:srgbClr val="136F55"/>
      </a:accent6>
      <a:hlink>
        <a:srgbClr val="0000FF"/>
      </a:hlink>
      <a:folHlink>
        <a:srgbClr val="800080"/>
      </a:folHlink>
    </a:clrScheme>
    <a:fontScheme name="OC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10758-290F-4FBA-854E-3C2EC8ABAEFD}">
  <ds:schemaRefs>
    <ds:schemaRef ds:uri="http://schemas.openxmlformats.org/officeDocument/2006/bibliography"/>
  </ds:schemaRefs>
</ds:datastoreItem>
</file>

<file path=customXml/itemProps2.xml><?xml version="1.0" encoding="utf-8"?>
<ds:datastoreItem xmlns:ds="http://schemas.openxmlformats.org/officeDocument/2006/customXml" ds:itemID="{05C58F29-DD2E-4857-9DCA-769D9224176D}"/>
</file>

<file path=customXml/itemProps3.xml><?xml version="1.0" encoding="utf-8"?>
<ds:datastoreItem xmlns:ds="http://schemas.openxmlformats.org/officeDocument/2006/customXml" ds:itemID="{6E72ED34-AB2C-4BF7-89A9-9DAEBD41447B}"/>
</file>

<file path=customXml/itemProps4.xml><?xml version="1.0" encoding="utf-8"?>
<ds:datastoreItem xmlns:ds="http://schemas.openxmlformats.org/officeDocument/2006/customXml" ds:itemID="{C4AA9377-22FD-43B7-90DA-76DDB0D627D8}"/>
</file>

<file path=docProps/app.xml><?xml version="1.0" encoding="utf-8"?>
<Properties xmlns="http://schemas.openxmlformats.org/officeDocument/2006/extended-properties" xmlns:vt="http://schemas.openxmlformats.org/officeDocument/2006/docPropsVTypes">
  <Template>Normal</Template>
  <TotalTime>0</TotalTime>
  <Pages>12</Pages>
  <Words>6262</Words>
  <Characters>35698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dc:creator>
  <cp:keywords/>
  <dc:description/>
  <cp:lastModifiedBy>Jocelyn Alexander</cp:lastModifiedBy>
  <cp:revision>2</cp:revision>
  <dcterms:created xsi:type="dcterms:W3CDTF">2017-08-18T10:38:00Z</dcterms:created>
  <dcterms:modified xsi:type="dcterms:W3CDTF">2017-08-18T10:38:00Z</dcterms:modified>
  <cp:category/>
</cp:coreProperties>
</file>